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7A7DD" w14:textId="77777777" w:rsidR="00100C92" w:rsidRPr="004546C3" w:rsidRDefault="00100C92" w:rsidP="00100C92">
      <w:pPr>
        <w:pStyle w:val="StandardWeb"/>
        <w:spacing w:before="0" w:beforeAutospacing="0" w:after="0" w:afterAutospacing="0"/>
        <w:rPr>
          <w:rFonts w:ascii="Open Sans" w:hAnsi="Open Sans" w:cs="Open Sans Light"/>
          <w:b/>
          <w:bCs/>
          <w:sz w:val="20"/>
          <w:szCs w:val="20"/>
        </w:rPr>
      </w:pPr>
      <w:r w:rsidRPr="004546C3">
        <w:rPr>
          <w:rFonts w:ascii="Open Sans" w:hAnsi="Open Sans" w:cs="Open Sans Light"/>
          <w:b/>
          <w:bCs/>
          <w:sz w:val="20"/>
          <w:szCs w:val="20"/>
        </w:rPr>
        <w:t>Description de la construction</w:t>
      </w:r>
    </w:p>
    <w:p w14:paraId="6DFF8321" w14:textId="77777777" w:rsidR="00100C92" w:rsidRPr="004546C3" w:rsidRDefault="00100C92" w:rsidP="00100C92">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 xml:space="preserve"> </w:t>
      </w:r>
    </w:p>
    <w:p w14:paraId="7E566B84" w14:textId="77777777" w:rsidR="00100C92" w:rsidRPr="004546C3" w:rsidRDefault="00100C92" w:rsidP="00100C92">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Série de profilés pour la production de systèmes bois-aluminium avec une épaisseur de bois égale sur l'ouvrant et le dormant système AC20 AP.  La vue de l'extérieur correspond à le système de mur rideau. La dimension du module est de 50/20/50 mm et doit être respectée de manière contraignante.</w:t>
      </w:r>
    </w:p>
    <w:p w14:paraId="5467A1C2" w14:textId="77777777" w:rsidR="00100C92" w:rsidRPr="004546C3" w:rsidRDefault="00100C92" w:rsidP="00100C92">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 xml:space="preserve"> </w:t>
      </w:r>
    </w:p>
    <w:p w14:paraId="26B58497" w14:textId="77777777" w:rsidR="00100C92" w:rsidRPr="004546C3" w:rsidRDefault="00100C92" w:rsidP="00100C92">
      <w:pPr>
        <w:pStyle w:val="StandardWeb"/>
        <w:spacing w:before="0" w:beforeAutospacing="0" w:after="0" w:afterAutospacing="0"/>
        <w:rPr>
          <w:rFonts w:ascii="Open Sans" w:hAnsi="Open Sans" w:cs="Open Sans Light"/>
          <w:b/>
          <w:bCs/>
          <w:sz w:val="20"/>
          <w:szCs w:val="20"/>
        </w:rPr>
      </w:pPr>
      <w:r w:rsidRPr="004546C3">
        <w:rPr>
          <w:rFonts w:ascii="Open Sans" w:hAnsi="Open Sans" w:cs="Open Sans Light"/>
          <w:b/>
          <w:bCs/>
          <w:sz w:val="20"/>
          <w:szCs w:val="20"/>
        </w:rPr>
        <w:t>Exigences techniques et vérifications spécifiques au système</w:t>
      </w:r>
    </w:p>
    <w:p w14:paraId="1CAC6B07" w14:textId="77777777" w:rsidR="00100C92" w:rsidRPr="004546C3" w:rsidRDefault="00100C92" w:rsidP="00100C92">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lang w:val="de-DE"/>
        </w:rPr>
        <w:t xml:space="preserve">Les profils en aluminium doivent être proposés en qualité anodisée selon la norme EN AW-6060 T66 et selon les normes DIN EN 755 et DIN EN 12020. </w:t>
      </w:r>
      <w:r w:rsidRPr="004546C3">
        <w:rPr>
          <w:rFonts w:ascii="Open Sans" w:hAnsi="Open Sans" w:cs="Open Sans Light"/>
          <w:sz w:val="20"/>
          <w:szCs w:val="20"/>
        </w:rPr>
        <w:t>Ils doivent être exécutés conformément aux normes et lignes directrices pertinentes, aux règles technologiques reconnues et aux informations fournies par le fournisseur du système.</w:t>
      </w:r>
    </w:p>
    <w:p w14:paraId="1D929AAD" w14:textId="77777777" w:rsidR="00100C92" w:rsidRPr="004546C3" w:rsidRDefault="00100C92" w:rsidP="00100C92">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 xml:space="preserve"> </w:t>
      </w:r>
    </w:p>
    <w:p w14:paraId="1C449BFE" w14:textId="77777777" w:rsidR="00100C92" w:rsidRPr="004546C3" w:rsidRDefault="00100C92" w:rsidP="00100C92">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Classe d'étanchéité à l'eau 9a*.</w:t>
      </w:r>
    </w:p>
    <w:p w14:paraId="0F211B25" w14:textId="77777777" w:rsidR="00100C92" w:rsidRPr="004546C3" w:rsidRDefault="00100C92" w:rsidP="00100C92">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Classe de perméabilité à l'air 4*.</w:t>
      </w:r>
    </w:p>
    <w:p w14:paraId="041B12F1" w14:textId="77777777" w:rsidR="00100C92" w:rsidRPr="004546C3" w:rsidRDefault="00100C92" w:rsidP="00100C92">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Forces opérationnelles de classe 1</w:t>
      </w:r>
    </w:p>
    <w:p w14:paraId="1DB25961" w14:textId="77777777" w:rsidR="00100C92" w:rsidRPr="004546C3" w:rsidRDefault="00100C92" w:rsidP="00100C92">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Adéquation aux fenêtres soumises au test RAL Vérification du système</w:t>
      </w:r>
    </w:p>
    <w:p w14:paraId="5E1BB00F" w14:textId="77777777" w:rsidR="00100C92" w:rsidRPr="004546C3" w:rsidRDefault="00100C92" w:rsidP="00100C92">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Aptitude en tant que vitrage antichute selon</w:t>
      </w:r>
    </w:p>
    <w:p w14:paraId="673E16C6" w14:textId="77777777" w:rsidR="00100C92" w:rsidRPr="004546C3" w:rsidRDefault="00100C92" w:rsidP="00100C92">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DIN 18008-4, catégorie A, C2, C3, y compris le certificat d'essai.</w:t>
      </w:r>
    </w:p>
    <w:p w14:paraId="53FC9646" w14:textId="77777777" w:rsidR="00100C92" w:rsidRPr="004546C3" w:rsidRDefault="00100C92" w:rsidP="00100C92">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 xml:space="preserve"> </w:t>
      </w:r>
    </w:p>
    <w:p w14:paraId="1C1DEE4C" w14:textId="77777777" w:rsidR="00100C92" w:rsidRPr="004546C3" w:rsidRDefault="00100C92" w:rsidP="00100C92">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 doit également être pour la parclose vissée de manière invisible, si celle-ci est réalisée.</w:t>
      </w:r>
    </w:p>
    <w:p w14:paraId="434B9E8B" w14:textId="77777777" w:rsidR="00100C92" w:rsidRPr="004546C3" w:rsidRDefault="00100C92" w:rsidP="00100C92">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 xml:space="preserve"> </w:t>
      </w:r>
    </w:p>
    <w:p w14:paraId="470E1888" w14:textId="77777777" w:rsidR="00100C92" w:rsidRPr="004546C3" w:rsidRDefault="00100C92" w:rsidP="00100C92">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Isolation thermique du cadre, par exemple en épicéa, valeurs U selon la norme DIN 10077-2:2003-10, Uf = 1,1 W/m²K selon la géométrie du profil </w:t>
      </w:r>
    </w:p>
    <w:p w14:paraId="02CFF1AD" w14:textId="77777777" w:rsidR="00100C92" w:rsidRPr="004546C3" w:rsidRDefault="00100C92" w:rsidP="00100C92">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 </w:t>
      </w:r>
    </w:p>
    <w:p w14:paraId="7E772C45" w14:textId="77777777" w:rsidR="00100C92" w:rsidRPr="004D5C92" w:rsidRDefault="00100C92" w:rsidP="00100C92">
      <w:pPr>
        <w:pStyle w:val="StandardWeb"/>
        <w:spacing w:before="0" w:beforeAutospacing="0" w:after="0" w:afterAutospacing="0"/>
        <w:rPr>
          <w:rFonts w:ascii="Open Sans" w:hAnsi="Open Sans" w:cs="Open Sans Light"/>
          <w:b/>
          <w:bCs/>
          <w:sz w:val="20"/>
          <w:szCs w:val="20"/>
        </w:rPr>
      </w:pPr>
      <w:r w:rsidRPr="004D5C92">
        <w:rPr>
          <w:rFonts w:ascii="Open Sans" w:hAnsi="Open Sans" w:cs="Open Sans Light"/>
          <w:b/>
          <w:bCs/>
          <w:sz w:val="20"/>
          <w:szCs w:val="20"/>
        </w:rPr>
        <w:t>Système de base requis</w:t>
      </w:r>
    </w:p>
    <w:p w14:paraId="3CEA5CA3" w14:textId="77777777" w:rsidR="00100C92" w:rsidRPr="004D5C92" w:rsidRDefault="00100C92" w:rsidP="00100C92">
      <w:pPr>
        <w:pStyle w:val="StandardWeb"/>
        <w:spacing w:before="0" w:beforeAutospacing="0" w:after="0" w:afterAutospacing="0"/>
        <w:rPr>
          <w:rFonts w:ascii="Open Sans" w:hAnsi="Open Sans" w:cs="Open Sans Light"/>
          <w:b/>
          <w:bCs/>
          <w:sz w:val="20"/>
          <w:szCs w:val="20"/>
        </w:rPr>
      </w:pPr>
      <w:r w:rsidRPr="004D5C92">
        <w:rPr>
          <w:rFonts w:ascii="Open Sans" w:hAnsi="Open Sans" w:cs="Open Sans Light"/>
          <w:b/>
          <w:bCs/>
          <w:sz w:val="20"/>
          <w:szCs w:val="20"/>
        </w:rPr>
        <w:t xml:space="preserve"> </w:t>
      </w:r>
    </w:p>
    <w:p w14:paraId="05F0B6A7" w14:textId="77777777" w:rsidR="00100C92" w:rsidRPr="004D5C92" w:rsidRDefault="00100C92" w:rsidP="00100C92">
      <w:pPr>
        <w:pStyle w:val="StandardWeb"/>
        <w:spacing w:before="0" w:beforeAutospacing="0" w:after="0" w:afterAutospacing="0"/>
        <w:rPr>
          <w:rFonts w:ascii="Open Sans" w:hAnsi="Open Sans" w:cs="Open Sans Light"/>
          <w:b/>
          <w:bCs/>
          <w:sz w:val="20"/>
          <w:szCs w:val="20"/>
        </w:rPr>
      </w:pPr>
      <w:r w:rsidRPr="004D5C92">
        <w:rPr>
          <w:rFonts w:ascii="Open Sans" w:hAnsi="Open Sans" w:cs="Open Sans Light"/>
          <w:b/>
          <w:bCs/>
          <w:sz w:val="20"/>
          <w:szCs w:val="20"/>
        </w:rPr>
        <w:t>Construction en bois</w:t>
      </w:r>
    </w:p>
    <w:p w14:paraId="7E9BEB8C" w14:textId="77777777" w:rsidR="00100C92" w:rsidRPr="004D5C92" w:rsidRDefault="00100C92" w:rsidP="00100C92">
      <w:pPr>
        <w:pStyle w:val="StandardWeb"/>
        <w:spacing w:before="0" w:beforeAutospacing="0" w:after="0" w:afterAutospacing="0"/>
        <w:rPr>
          <w:rFonts w:ascii="Open Sans" w:hAnsi="Open Sans" w:cs="Open Sans Light"/>
          <w:sz w:val="20"/>
          <w:szCs w:val="20"/>
        </w:rPr>
      </w:pPr>
      <w:r w:rsidRPr="004D5C92">
        <w:rPr>
          <w:rFonts w:ascii="Open Sans" w:hAnsi="Open Sans" w:cs="Open Sans Light"/>
          <w:sz w:val="20"/>
          <w:szCs w:val="20"/>
        </w:rPr>
        <w:t>La construction en bois doit être exécutée conformément aux exigences de la norme DIN 68121. Les vantaux doivent être munies de parcloses fraisées, de vitrages fixes avec parcloses vissées. Le système doit permettre un vitrage fixe vissé de manière invisible.</w:t>
      </w:r>
    </w:p>
    <w:p w14:paraId="3EA8539E" w14:textId="77777777" w:rsidR="00100C92" w:rsidRPr="004D5C92" w:rsidRDefault="00100C92" w:rsidP="00100C92">
      <w:pPr>
        <w:pStyle w:val="StandardWeb"/>
        <w:spacing w:before="0" w:beforeAutospacing="0" w:after="0" w:afterAutospacing="0"/>
        <w:rPr>
          <w:rFonts w:ascii="Open Sans" w:hAnsi="Open Sans" w:cs="Open Sans Light"/>
          <w:sz w:val="20"/>
          <w:szCs w:val="20"/>
        </w:rPr>
      </w:pPr>
      <w:r w:rsidRPr="004D5C92">
        <w:rPr>
          <w:rFonts w:ascii="Open Sans" w:hAnsi="Open Sans" w:cs="Open Sans Light"/>
          <w:sz w:val="20"/>
          <w:szCs w:val="20"/>
        </w:rPr>
        <w:t>Conception d'un vitrage fixe :</w:t>
      </w:r>
    </w:p>
    <w:p w14:paraId="5A9CB4AE" w14:textId="77777777" w:rsidR="00100C92" w:rsidRPr="004D5C92" w:rsidRDefault="00100C92" w:rsidP="00100C92">
      <w:pPr>
        <w:pStyle w:val="StandardWeb"/>
        <w:spacing w:before="0" w:beforeAutospacing="0" w:after="0" w:afterAutospacing="0"/>
        <w:rPr>
          <w:rFonts w:ascii="Open Sans" w:hAnsi="Open Sans" w:cs="Open Sans Light"/>
          <w:sz w:val="20"/>
          <w:szCs w:val="20"/>
        </w:rPr>
      </w:pPr>
      <w:r w:rsidRPr="004D5C92">
        <w:rPr>
          <w:rFonts w:ascii="Open Sans" w:hAnsi="Open Sans" w:cs="Open Sans Light"/>
          <w:sz w:val="20"/>
          <w:szCs w:val="20"/>
        </w:rPr>
        <w:t xml:space="preserve"> </w:t>
      </w:r>
    </w:p>
    <w:p w14:paraId="48CC60B6" w14:textId="77777777" w:rsidR="00100C92" w:rsidRPr="004D5C92" w:rsidRDefault="00100C92" w:rsidP="00100C92">
      <w:pPr>
        <w:pStyle w:val="StandardWeb"/>
        <w:spacing w:before="0" w:beforeAutospacing="0" w:after="0" w:afterAutospacing="0"/>
        <w:rPr>
          <w:rFonts w:ascii="Open Sans" w:hAnsi="Open Sans" w:cs="Open Sans Light"/>
          <w:sz w:val="20"/>
          <w:szCs w:val="20"/>
        </w:rPr>
      </w:pPr>
      <w:r w:rsidRPr="004D5C92">
        <w:rPr>
          <w:rFonts w:ascii="Open Sans" w:hAnsi="Open Sans" w:cs="Open Sans Light"/>
          <w:sz w:val="20"/>
          <w:szCs w:val="20"/>
        </w:rPr>
        <w:t>Facultatif :</w:t>
      </w:r>
    </w:p>
    <w:p w14:paraId="63A6F65D" w14:textId="77777777" w:rsidR="00100C92" w:rsidRPr="004D5C92" w:rsidRDefault="00100C92" w:rsidP="00100C92">
      <w:pPr>
        <w:pStyle w:val="StandardWeb"/>
        <w:spacing w:before="0" w:beforeAutospacing="0" w:after="0" w:afterAutospacing="0"/>
        <w:rPr>
          <w:rFonts w:ascii="Open Sans" w:hAnsi="Open Sans" w:cs="Open Sans Light"/>
          <w:sz w:val="20"/>
          <w:szCs w:val="20"/>
        </w:rPr>
      </w:pPr>
      <w:r w:rsidRPr="004D5C92">
        <w:rPr>
          <w:rFonts w:ascii="Open Sans" w:hAnsi="Open Sans" w:cs="Open Sans Light"/>
          <w:sz w:val="20"/>
          <w:szCs w:val="20"/>
        </w:rPr>
        <w:t>parclose visiblement vissée</w:t>
      </w:r>
    </w:p>
    <w:p w14:paraId="17463C3B" w14:textId="77777777" w:rsidR="00100C92" w:rsidRPr="004D5C92" w:rsidRDefault="00100C92" w:rsidP="00100C92">
      <w:pPr>
        <w:pStyle w:val="StandardWeb"/>
        <w:spacing w:before="0" w:beforeAutospacing="0" w:after="0" w:afterAutospacing="0"/>
        <w:rPr>
          <w:rFonts w:ascii="Open Sans" w:hAnsi="Open Sans" w:cs="Open Sans Light"/>
          <w:sz w:val="20"/>
          <w:szCs w:val="20"/>
        </w:rPr>
      </w:pPr>
      <w:r w:rsidRPr="004D5C92">
        <w:rPr>
          <w:rFonts w:ascii="Open Sans" w:hAnsi="Open Sans" w:cs="Open Sans Light"/>
          <w:sz w:val="20"/>
          <w:szCs w:val="20"/>
        </w:rPr>
        <w:t>Parclose à vis invisible</w:t>
      </w:r>
    </w:p>
    <w:p w14:paraId="7C81733B" w14:textId="77777777" w:rsidR="00100C92" w:rsidRPr="004D5C92" w:rsidRDefault="00100C92" w:rsidP="00100C92">
      <w:pPr>
        <w:pStyle w:val="StandardWeb"/>
        <w:spacing w:before="0" w:beforeAutospacing="0" w:after="0" w:afterAutospacing="0"/>
        <w:rPr>
          <w:rFonts w:ascii="Open Sans" w:hAnsi="Open Sans" w:cs="Open Sans Light"/>
          <w:sz w:val="20"/>
          <w:szCs w:val="20"/>
        </w:rPr>
      </w:pPr>
      <w:r w:rsidRPr="004D5C92">
        <w:rPr>
          <w:rFonts w:ascii="Open Sans" w:hAnsi="Open Sans" w:cs="Open Sans Light"/>
          <w:sz w:val="20"/>
          <w:szCs w:val="20"/>
        </w:rPr>
        <w:t xml:space="preserve"> </w:t>
      </w:r>
    </w:p>
    <w:p w14:paraId="0D2E896F" w14:textId="77777777" w:rsidR="00100C92" w:rsidRPr="004D5C92" w:rsidRDefault="00100C92" w:rsidP="00100C92">
      <w:pPr>
        <w:pStyle w:val="StandardWeb"/>
        <w:spacing w:before="0" w:beforeAutospacing="0" w:after="0" w:afterAutospacing="0"/>
        <w:rPr>
          <w:rFonts w:ascii="Open Sans" w:hAnsi="Open Sans" w:cs="Open Sans Light"/>
          <w:sz w:val="20"/>
          <w:szCs w:val="20"/>
          <w:lang w:val="de-DE"/>
        </w:rPr>
      </w:pPr>
      <w:r w:rsidRPr="004D5C92">
        <w:rPr>
          <w:rFonts w:ascii="Open Sans" w:hAnsi="Open Sans" w:cs="Open Sans Light"/>
          <w:sz w:val="20"/>
          <w:szCs w:val="20"/>
          <w:lang w:val="de-DE"/>
        </w:rPr>
        <w:t>Le joint de bordure du vitrage isolant est logé sur deux côtés dans la feuillure en bois.</w:t>
      </w:r>
    </w:p>
    <w:p w14:paraId="4D5B297C" w14:textId="77777777" w:rsidR="00100C92" w:rsidRDefault="00100C92" w:rsidP="00100C92">
      <w:pPr>
        <w:pStyle w:val="StandardWeb"/>
        <w:spacing w:before="0" w:beforeAutospacing="0" w:after="0" w:afterAutospacing="0"/>
        <w:rPr>
          <w:rFonts w:ascii="Open Sans" w:hAnsi="Open Sans" w:cs="Open Sans Light"/>
          <w:sz w:val="20"/>
          <w:szCs w:val="20"/>
          <w:lang w:val="de-DE"/>
        </w:rPr>
      </w:pPr>
      <w:r w:rsidRPr="004D5C92">
        <w:rPr>
          <w:rFonts w:ascii="Open Sans" w:hAnsi="Open Sans" w:cs="Open Sans Light"/>
          <w:sz w:val="20"/>
          <w:szCs w:val="20"/>
          <w:lang w:val="de-DE"/>
        </w:rPr>
        <w:t>Les rainures dans les profilés en bois destinées à recevoir les profilés en aluminium ne sont pas autorisées. </w:t>
      </w:r>
    </w:p>
    <w:p w14:paraId="3D5362CC" w14:textId="77777777" w:rsidR="00100C92" w:rsidRPr="004B1DE9" w:rsidRDefault="00100C92" w:rsidP="00100C92">
      <w:pPr>
        <w:pStyle w:val="StandardWeb"/>
        <w:spacing w:before="0" w:beforeAutospacing="0" w:after="0" w:afterAutospacing="0"/>
        <w:rPr>
          <w:rFonts w:ascii="Open Sans" w:hAnsi="Open Sans" w:cs="Open Sans Light"/>
          <w:sz w:val="20"/>
          <w:szCs w:val="20"/>
          <w:lang w:val="de-DE"/>
        </w:rPr>
      </w:pPr>
    </w:p>
    <w:p w14:paraId="43BDBF69" w14:textId="77777777" w:rsidR="00100C92" w:rsidRPr="00100C92" w:rsidRDefault="00100C92" w:rsidP="00100C92">
      <w:pPr>
        <w:pStyle w:val="StandardWeb"/>
        <w:spacing w:before="0" w:beforeAutospacing="0" w:after="0" w:afterAutospacing="0"/>
        <w:rPr>
          <w:rFonts w:ascii="Open Sans" w:hAnsi="Open Sans" w:cs="Open Sans Light"/>
          <w:b/>
          <w:bCs/>
          <w:sz w:val="20"/>
          <w:szCs w:val="20"/>
          <w:lang w:val="de-DE"/>
        </w:rPr>
      </w:pPr>
      <w:r w:rsidRPr="00100C92">
        <w:rPr>
          <w:rFonts w:ascii="Open Sans" w:hAnsi="Open Sans" w:cs="Open Sans Light"/>
          <w:b/>
          <w:bCs/>
          <w:sz w:val="20"/>
          <w:szCs w:val="20"/>
          <w:lang w:val="de-DE"/>
        </w:rPr>
        <w:t>Cadre en aluminium</w:t>
      </w:r>
    </w:p>
    <w:p w14:paraId="6164E5CD" w14:textId="77777777" w:rsidR="00100C92" w:rsidRPr="00100C92" w:rsidRDefault="00100C92" w:rsidP="00100C92">
      <w:pPr>
        <w:pStyle w:val="StandardWeb"/>
        <w:spacing w:before="0" w:beforeAutospacing="0" w:after="0" w:afterAutospacing="0"/>
        <w:rPr>
          <w:rFonts w:ascii="Open Sans" w:hAnsi="Open Sans" w:cs="Open Sans Light"/>
          <w:sz w:val="20"/>
          <w:szCs w:val="20"/>
        </w:rPr>
      </w:pPr>
      <w:r w:rsidRPr="00100C92">
        <w:rPr>
          <w:rFonts w:ascii="Open Sans" w:hAnsi="Open Sans" w:cs="Open Sans Light"/>
          <w:sz w:val="20"/>
          <w:szCs w:val="20"/>
          <w:lang w:val="de-DE"/>
        </w:rPr>
        <w:t xml:space="preserve">Un système doit être proposé dans lequel la cadre est conçu avec un chevauchement de 90 degrés en optique angulaire. Le vantail est au ras de la surface. La hauteur du profil du cadre doit être de 10 mm. </w:t>
      </w:r>
      <w:r w:rsidRPr="00100C92">
        <w:rPr>
          <w:rFonts w:ascii="Open Sans" w:hAnsi="Open Sans" w:cs="Open Sans Light"/>
          <w:sz w:val="20"/>
          <w:szCs w:val="20"/>
        </w:rPr>
        <w:t>Le système doit être conçu avec un vantail aligné sur le cadre.</w:t>
      </w:r>
    </w:p>
    <w:p w14:paraId="76D0CE53" w14:textId="77777777" w:rsidR="00100C92" w:rsidRPr="00100C92" w:rsidRDefault="00100C92" w:rsidP="00100C92">
      <w:pPr>
        <w:pStyle w:val="StandardWeb"/>
        <w:spacing w:before="0" w:beforeAutospacing="0" w:after="0" w:afterAutospacing="0"/>
        <w:rPr>
          <w:rFonts w:ascii="Open Sans" w:hAnsi="Open Sans" w:cs="Open Sans Light"/>
          <w:sz w:val="20"/>
          <w:szCs w:val="20"/>
        </w:rPr>
      </w:pPr>
      <w:r w:rsidRPr="00100C92">
        <w:rPr>
          <w:rFonts w:ascii="Open Sans" w:hAnsi="Open Sans" w:cs="Open Sans Light"/>
          <w:sz w:val="20"/>
          <w:szCs w:val="20"/>
        </w:rPr>
        <w:t xml:space="preserve"> </w:t>
      </w:r>
    </w:p>
    <w:p w14:paraId="438832B9" w14:textId="77777777" w:rsidR="00100C92" w:rsidRPr="00100C92" w:rsidRDefault="00100C92" w:rsidP="00100C92">
      <w:pPr>
        <w:pStyle w:val="StandardWeb"/>
        <w:spacing w:before="0" w:beforeAutospacing="0" w:after="0" w:afterAutospacing="0"/>
        <w:rPr>
          <w:rFonts w:ascii="Open Sans" w:hAnsi="Open Sans" w:cs="Open Sans Light"/>
          <w:sz w:val="20"/>
          <w:szCs w:val="20"/>
        </w:rPr>
      </w:pPr>
      <w:r w:rsidRPr="00100C92">
        <w:rPr>
          <w:rFonts w:ascii="Open Sans" w:hAnsi="Open Sans" w:cs="Open Sans Light"/>
          <w:sz w:val="20"/>
          <w:szCs w:val="20"/>
        </w:rPr>
        <w:t xml:space="preserve">Les profilés d'ouvrant doivent être conçus avec une chambre creuse pour augmenter la rigidité de la zone vitrée. Le drainage de la zone de la remise est effectué par un poinçonnage dissimulé dans la traverse inférieure. En option, un drainage visible doit être possible avec un couvercle en aluminium de la même couleur que le cadre en aluminium. Il doit être possible de concevoir les cadres en aluminium avec des assemblages mécaniques ou soudés. </w:t>
      </w:r>
    </w:p>
    <w:p w14:paraId="518B5B3D" w14:textId="77777777" w:rsidR="00100C92" w:rsidRDefault="00100C92" w:rsidP="00100C92">
      <w:pPr>
        <w:pStyle w:val="StandardWeb"/>
        <w:spacing w:before="0" w:beforeAutospacing="0" w:after="0" w:afterAutospacing="0"/>
        <w:rPr>
          <w:rFonts w:ascii="Open Sans" w:hAnsi="Open Sans" w:cs="Open Sans Light"/>
          <w:b/>
          <w:bCs/>
          <w:sz w:val="20"/>
          <w:szCs w:val="20"/>
        </w:rPr>
      </w:pPr>
    </w:p>
    <w:p w14:paraId="43E354B0" w14:textId="5D20E202" w:rsidR="00100C92" w:rsidRPr="000C5C4E" w:rsidRDefault="00100C92" w:rsidP="00100C92">
      <w:pPr>
        <w:pStyle w:val="StandardWeb"/>
        <w:spacing w:before="0" w:beforeAutospacing="0" w:after="0" w:afterAutospacing="0"/>
        <w:rPr>
          <w:rFonts w:ascii="Open Sans" w:hAnsi="Open Sans" w:cs="Open Sans Light"/>
          <w:sz w:val="20"/>
          <w:szCs w:val="20"/>
        </w:rPr>
      </w:pPr>
      <w:r w:rsidRPr="000C5C4E">
        <w:rPr>
          <w:rFonts w:ascii="Open Sans" w:hAnsi="Open Sans" w:cs="Open Sans Light"/>
          <w:sz w:val="20"/>
          <w:szCs w:val="20"/>
        </w:rPr>
        <w:t>Le modèle suivant est fourni :</w:t>
      </w:r>
    </w:p>
    <w:p w14:paraId="0334C7E5" w14:textId="77777777" w:rsidR="00100C92" w:rsidRPr="000C5C4E" w:rsidRDefault="00100C92" w:rsidP="00100C92">
      <w:pPr>
        <w:pStyle w:val="StandardWeb"/>
        <w:spacing w:before="0" w:beforeAutospacing="0" w:after="0" w:afterAutospacing="0"/>
        <w:rPr>
          <w:rFonts w:ascii="Open Sans" w:hAnsi="Open Sans" w:cs="Open Sans Light"/>
          <w:sz w:val="20"/>
          <w:szCs w:val="20"/>
        </w:rPr>
      </w:pPr>
      <w:r w:rsidRPr="000C5C4E">
        <w:rPr>
          <w:rFonts w:ascii="Open Sans" w:hAnsi="Open Sans" w:cs="Open Sans Light"/>
          <w:sz w:val="20"/>
          <w:szCs w:val="20"/>
        </w:rPr>
        <w:t xml:space="preserve"> </w:t>
      </w:r>
    </w:p>
    <w:p w14:paraId="1AE55B82" w14:textId="77777777" w:rsidR="00100C92" w:rsidRPr="000C5C4E" w:rsidRDefault="00100C92" w:rsidP="00100C92">
      <w:pPr>
        <w:pStyle w:val="StandardWeb"/>
        <w:spacing w:before="0" w:beforeAutospacing="0" w:after="0" w:afterAutospacing="0"/>
        <w:rPr>
          <w:rFonts w:ascii="Open Sans" w:hAnsi="Open Sans" w:cs="Open Sans Light"/>
          <w:sz w:val="20"/>
          <w:szCs w:val="20"/>
        </w:rPr>
      </w:pPr>
      <w:r w:rsidRPr="000C5C4E">
        <w:rPr>
          <w:rFonts w:ascii="Open Sans" w:hAnsi="Open Sans" w:cs="Open Sans Light"/>
          <w:sz w:val="20"/>
          <w:szCs w:val="20"/>
        </w:rPr>
        <w:t>Facultatif :</w:t>
      </w:r>
    </w:p>
    <w:p w14:paraId="6BF4505C" w14:textId="77777777" w:rsidR="00100C92" w:rsidRPr="000C5C4E" w:rsidRDefault="00100C92" w:rsidP="00100C92">
      <w:pPr>
        <w:pStyle w:val="StandardWeb"/>
        <w:spacing w:before="0" w:beforeAutospacing="0" w:after="0" w:afterAutospacing="0"/>
        <w:rPr>
          <w:rFonts w:ascii="Open Sans" w:hAnsi="Open Sans" w:cs="Open Sans Light"/>
          <w:sz w:val="20"/>
          <w:szCs w:val="20"/>
        </w:rPr>
      </w:pPr>
      <w:r w:rsidRPr="000C5C4E">
        <w:rPr>
          <w:rFonts w:ascii="Open Sans" w:hAnsi="Open Sans" w:cs="Open Sans Light"/>
          <w:sz w:val="20"/>
          <w:szCs w:val="20"/>
        </w:rPr>
        <w:t>connexion mécanique (poinçonnée)</w:t>
      </w:r>
    </w:p>
    <w:p w14:paraId="16BBCADE" w14:textId="77777777" w:rsidR="00100C92" w:rsidRDefault="00100C92" w:rsidP="00100C92">
      <w:pPr>
        <w:pStyle w:val="StandardWeb"/>
        <w:spacing w:before="0" w:beforeAutospacing="0" w:after="0" w:afterAutospacing="0"/>
        <w:rPr>
          <w:rFonts w:ascii="Open Sans" w:hAnsi="Open Sans" w:cs="Open Sans Light"/>
          <w:sz w:val="20"/>
          <w:szCs w:val="20"/>
        </w:rPr>
      </w:pPr>
      <w:r w:rsidRPr="000C5C4E">
        <w:rPr>
          <w:rFonts w:ascii="Open Sans" w:hAnsi="Open Sans" w:cs="Open Sans Light"/>
          <w:sz w:val="20"/>
          <w:szCs w:val="20"/>
        </w:rPr>
        <w:t>assemblage soudé </w:t>
      </w:r>
    </w:p>
    <w:p w14:paraId="3D625A6D" w14:textId="77777777" w:rsidR="00100C92" w:rsidRPr="000C5C4E" w:rsidRDefault="00100C92" w:rsidP="00100C92">
      <w:pPr>
        <w:pStyle w:val="StandardWeb"/>
        <w:spacing w:before="0" w:beforeAutospacing="0" w:after="0" w:afterAutospacing="0"/>
        <w:rPr>
          <w:rFonts w:ascii="Open Sans" w:hAnsi="Open Sans" w:cs="Open Sans Light"/>
          <w:sz w:val="20"/>
          <w:szCs w:val="20"/>
        </w:rPr>
      </w:pPr>
    </w:p>
    <w:p w14:paraId="0133CEC9" w14:textId="77777777" w:rsidR="00100C92" w:rsidRPr="000C5C4E" w:rsidRDefault="00100C92" w:rsidP="00100C92">
      <w:pPr>
        <w:pStyle w:val="StandardWeb"/>
        <w:spacing w:after="0"/>
        <w:rPr>
          <w:rFonts w:ascii="Open Sans" w:hAnsi="Open Sans" w:cs="Open Sans Light"/>
          <w:b/>
          <w:bCs/>
          <w:sz w:val="20"/>
          <w:szCs w:val="20"/>
        </w:rPr>
      </w:pPr>
      <w:r w:rsidRPr="000C5C4E">
        <w:rPr>
          <w:rFonts w:ascii="Open Sans" w:hAnsi="Open Sans" w:cs="Open Sans Light"/>
          <w:b/>
          <w:bCs/>
          <w:sz w:val="20"/>
          <w:szCs w:val="20"/>
        </w:rPr>
        <w:t>Fixation du cadre en aluminium</w:t>
      </w:r>
    </w:p>
    <w:p w14:paraId="3B909790" w14:textId="77777777" w:rsidR="00100C92" w:rsidRPr="000C5C4E" w:rsidRDefault="00100C92" w:rsidP="00100C92">
      <w:pPr>
        <w:pStyle w:val="StandardWeb"/>
        <w:spacing w:before="0" w:beforeAutospacing="0" w:after="0" w:afterAutospacing="0"/>
        <w:rPr>
          <w:rFonts w:ascii="Open Sans" w:hAnsi="Open Sans" w:cs="Open Sans Light"/>
          <w:sz w:val="20"/>
          <w:szCs w:val="20"/>
        </w:rPr>
      </w:pPr>
      <w:r w:rsidRPr="000C5C4E">
        <w:rPr>
          <w:rFonts w:ascii="Open Sans" w:hAnsi="Open Sans" w:cs="Open Sans Light"/>
          <w:sz w:val="20"/>
          <w:szCs w:val="20"/>
        </w:rPr>
        <w:t>Le cadre en aluminium est fixé au cadre en bois au moyen de supports de clips pivotants et rotatifs amovibles en plastique de haute qualité et résistant à la température, comme le POM modifié résistant aux chocs. Des supports rotatifs sont toujours utilisés sur l'ouvrant. Il faut assurer une dilatation sans contrainte de l'enveloppe en aluminium vers la partie en bois et une ventilation arrière complète de l'espace entre le cadre en bois et en aluminium. L'écart doit donc être d'au moins 4 mm. Pour un positionnement dimensionnel exact, les supports doivent être préparés avec des entretoises moulées.</w:t>
      </w:r>
    </w:p>
    <w:p w14:paraId="35133F0A" w14:textId="77777777" w:rsidR="00100C92" w:rsidRPr="000C5C4E" w:rsidRDefault="00100C92" w:rsidP="00100C92">
      <w:pPr>
        <w:pStyle w:val="StandardWeb"/>
        <w:spacing w:before="0" w:beforeAutospacing="0" w:after="0" w:afterAutospacing="0"/>
        <w:rPr>
          <w:rFonts w:ascii="Open Sans" w:hAnsi="Open Sans" w:cs="Open Sans Light"/>
          <w:sz w:val="20"/>
          <w:szCs w:val="20"/>
        </w:rPr>
      </w:pPr>
      <w:r w:rsidRPr="000C5C4E">
        <w:rPr>
          <w:rFonts w:ascii="Open Sans" w:hAnsi="Open Sans" w:cs="Open Sans Light"/>
          <w:sz w:val="20"/>
          <w:szCs w:val="20"/>
        </w:rPr>
        <w:t> </w:t>
      </w:r>
    </w:p>
    <w:p w14:paraId="3E662BC3" w14:textId="77777777" w:rsidR="00100C92" w:rsidRPr="000C5C4E" w:rsidRDefault="00100C92" w:rsidP="00100C92">
      <w:pPr>
        <w:spacing w:after="0"/>
        <w:rPr>
          <w:rFonts w:ascii="Open Sans" w:eastAsia="Times New Roman" w:hAnsi="Open Sans" w:cs="Open Sans Light"/>
          <w:b/>
          <w:bCs/>
          <w:sz w:val="20"/>
          <w:szCs w:val="20"/>
          <w:lang w:eastAsia="en-GB"/>
        </w:rPr>
      </w:pPr>
      <w:r w:rsidRPr="000C5C4E">
        <w:rPr>
          <w:rFonts w:ascii="Open Sans" w:eastAsia="Times New Roman" w:hAnsi="Open Sans" w:cs="Open Sans Light"/>
          <w:b/>
          <w:bCs/>
          <w:sz w:val="20"/>
          <w:szCs w:val="20"/>
          <w:lang w:eastAsia="en-GB"/>
        </w:rPr>
        <w:t>Joints</w:t>
      </w:r>
    </w:p>
    <w:p w14:paraId="70A9BC77" w14:textId="77777777" w:rsidR="00100C92" w:rsidRPr="000C5C4E" w:rsidRDefault="00100C92" w:rsidP="00100C92">
      <w:pPr>
        <w:spacing w:after="0"/>
        <w:rPr>
          <w:rFonts w:ascii="Open Sans" w:eastAsia="Times New Roman" w:hAnsi="Open Sans" w:cs="Open Sans Light"/>
          <w:sz w:val="20"/>
          <w:szCs w:val="20"/>
          <w:lang w:eastAsia="en-GB"/>
        </w:rPr>
      </w:pPr>
      <w:r w:rsidRPr="000C5C4E">
        <w:rPr>
          <w:rFonts w:ascii="Open Sans" w:eastAsia="Times New Roman" w:hAnsi="Open Sans" w:cs="Open Sans Light"/>
          <w:sz w:val="20"/>
          <w:szCs w:val="20"/>
          <w:lang w:eastAsia="en-GB"/>
        </w:rPr>
        <w:t>Un joint APTK circonférentiel, vulcanisable dans les coins, en APTK doit être installé entre le cadre en bois et l'ouvrant en bois. En cas de forte exposition à la pluie battante, un joint d'étanchéité entre le cadre en aluminium et le vantail en aluminium doit être installé en croix en bas, en option.</w:t>
      </w:r>
    </w:p>
    <w:p w14:paraId="3AB01F43" w14:textId="0D1F23F1" w:rsidR="00100C92" w:rsidRDefault="00100C92" w:rsidP="00100C92">
      <w:pPr>
        <w:spacing w:after="0"/>
        <w:rPr>
          <w:rFonts w:ascii="Open Sans" w:eastAsia="Times New Roman" w:hAnsi="Open Sans" w:cs="Open Sans Light"/>
          <w:sz w:val="20"/>
          <w:szCs w:val="20"/>
          <w:lang w:eastAsia="en-GB"/>
        </w:rPr>
      </w:pPr>
      <w:r w:rsidRPr="000C5C4E">
        <w:rPr>
          <w:rFonts w:ascii="Open Sans" w:eastAsia="Times New Roman" w:hAnsi="Open Sans" w:cs="Open Sans Light"/>
          <w:sz w:val="20"/>
          <w:szCs w:val="20"/>
          <w:lang w:eastAsia="en-GB"/>
        </w:rPr>
        <w:t xml:space="preserve">À l'extérieur, il doit être possible d'installer un joint circonférentiel de vitrage sec APTK. La lèvre d'étanchéité du verre ne doit pas être visible sur une largeur supérieure à 5 mm. Les joints de coin comme joints de vitrage extérieur ne sont pas autorisés. À l'intérieur, il doit être possible de fournir des vitrages secs avec des joints APTK en épaisseurs de joint graduées. Il doit être possible de concevoir le système comme un vitrage sec à l'extérieur et à l'intérieur. </w:t>
      </w:r>
    </w:p>
    <w:p w14:paraId="7EB29F8D" w14:textId="259FDD9C" w:rsidR="00100C92" w:rsidRDefault="00100C92" w:rsidP="00100C92">
      <w:pPr>
        <w:spacing w:after="0"/>
        <w:rPr>
          <w:rFonts w:ascii="Open Sans" w:eastAsia="Times New Roman" w:hAnsi="Open Sans" w:cs="Open Sans Light"/>
          <w:sz w:val="20"/>
          <w:szCs w:val="20"/>
          <w:lang w:eastAsia="en-GB"/>
        </w:rPr>
      </w:pPr>
    </w:p>
    <w:p w14:paraId="7FD837B7" w14:textId="77777777" w:rsidR="00100C92" w:rsidRPr="00100C92" w:rsidRDefault="00100C92" w:rsidP="00100C92">
      <w:pPr>
        <w:spacing w:after="0"/>
        <w:rPr>
          <w:rFonts w:ascii="Open Sans" w:eastAsia="Times New Roman" w:hAnsi="Open Sans" w:cs="Open Sans Light"/>
          <w:sz w:val="20"/>
          <w:szCs w:val="20"/>
          <w:lang w:eastAsia="en-GB"/>
        </w:rPr>
      </w:pPr>
      <w:r w:rsidRPr="00100C92">
        <w:rPr>
          <w:rFonts w:ascii="Open Sans" w:eastAsia="Times New Roman" w:hAnsi="Open Sans" w:cs="Open Sans Light"/>
          <w:sz w:val="20"/>
          <w:szCs w:val="20"/>
          <w:lang w:eastAsia="en-GB"/>
        </w:rPr>
        <w:t>En extérieur</w:t>
      </w:r>
    </w:p>
    <w:p w14:paraId="24DE72ED" w14:textId="77777777" w:rsidR="00100C92" w:rsidRPr="00100C92" w:rsidRDefault="00100C92" w:rsidP="00100C92">
      <w:pPr>
        <w:spacing w:after="0"/>
        <w:rPr>
          <w:rFonts w:ascii="Open Sans" w:eastAsia="Times New Roman" w:hAnsi="Open Sans" w:cs="Open Sans Light"/>
          <w:sz w:val="20"/>
          <w:szCs w:val="20"/>
          <w:lang w:eastAsia="en-GB"/>
        </w:rPr>
      </w:pPr>
      <w:r w:rsidRPr="00100C92">
        <w:rPr>
          <w:rFonts w:ascii="Open Sans" w:eastAsia="Times New Roman" w:hAnsi="Open Sans" w:cs="Open Sans Light"/>
          <w:sz w:val="20"/>
          <w:szCs w:val="20"/>
          <w:lang w:eastAsia="en-GB"/>
        </w:rPr>
        <w:t>Vitrage humide</w:t>
      </w:r>
    </w:p>
    <w:p w14:paraId="04EBA2ED" w14:textId="77777777" w:rsidR="00100C92" w:rsidRPr="00100C92" w:rsidRDefault="00100C92" w:rsidP="00100C92">
      <w:pPr>
        <w:spacing w:after="0"/>
        <w:rPr>
          <w:rFonts w:ascii="Open Sans" w:eastAsia="Times New Roman" w:hAnsi="Open Sans" w:cs="Open Sans Light"/>
          <w:sz w:val="20"/>
          <w:szCs w:val="20"/>
          <w:lang w:eastAsia="en-GB"/>
        </w:rPr>
      </w:pPr>
    </w:p>
    <w:p w14:paraId="5ED613BF" w14:textId="77777777" w:rsidR="00100C92" w:rsidRPr="00100C92" w:rsidRDefault="00100C92" w:rsidP="00100C92">
      <w:pPr>
        <w:spacing w:after="0"/>
        <w:rPr>
          <w:rFonts w:ascii="Open Sans" w:eastAsia="Times New Roman" w:hAnsi="Open Sans" w:cs="Open Sans Light"/>
          <w:sz w:val="20"/>
          <w:szCs w:val="20"/>
          <w:lang w:eastAsia="en-GB"/>
        </w:rPr>
      </w:pPr>
      <w:r w:rsidRPr="00100C92">
        <w:rPr>
          <w:rFonts w:ascii="Open Sans" w:eastAsia="Times New Roman" w:hAnsi="Open Sans" w:cs="Open Sans Light"/>
          <w:sz w:val="20"/>
          <w:szCs w:val="20"/>
          <w:lang w:eastAsia="en-GB"/>
        </w:rPr>
        <w:t>A l'intérieur</w:t>
      </w:r>
    </w:p>
    <w:p w14:paraId="11AC14E6" w14:textId="5088DF1F" w:rsidR="00100C92" w:rsidRDefault="00100C92" w:rsidP="00100C92">
      <w:pPr>
        <w:spacing w:after="0"/>
        <w:rPr>
          <w:rFonts w:ascii="Open Sans" w:eastAsia="Times New Roman" w:hAnsi="Open Sans" w:cs="Open Sans Light"/>
          <w:sz w:val="20"/>
          <w:szCs w:val="20"/>
          <w:lang w:eastAsia="en-GB"/>
        </w:rPr>
      </w:pPr>
      <w:r w:rsidRPr="00100C92">
        <w:rPr>
          <w:rFonts w:ascii="Open Sans" w:eastAsia="Times New Roman" w:hAnsi="Open Sans" w:cs="Open Sans Light"/>
          <w:sz w:val="20"/>
          <w:szCs w:val="20"/>
          <w:lang w:eastAsia="en-GB"/>
        </w:rPr>
        <w:t>Vitrage à sec</w:t>
      </w:r>
      <w:r w:rsidRPr="000C5C4E">
        <w:rPr>
          <w:rFonts w:ascii="Open Sans" w:eastAsia="Times New Roman" w:hAnsi="Open Sans" w:cs="Open Sans Light"/>
          <w:sz w:val="20"/>
          <w:szCs w:val="20"/>
          <w:lang w:eastAsia="en-GB"/>
        </w:rPr>
        <w:t xml:space="preserve"> </w:t>
      </w:r>
    </w:p>
    <w:p w14:paraId="2DE4815A" w14:textId="77777777" w:rsidR="00100C92" w:rsidRPr="000C5C4E" w:rsidRDefault="00100C92" w:rsidP="00100C92">
      <w:pPr>
        <w:spacing w:after="0"/>
        <w:rPr>
          <w:rFonts w:ascii="Open Sans" w:eastAsia="Times New Roman" w:hAnsi="Open Sans" w:cs="Open Sans Light"/>
          <w:sz w:val="20"/>
          <w:szCs w:val="20"/>
          <w:lang w:eastAsia="en-GB"/>
        </w:rPr>
      </w:pPr>
    </w:p>
    <w:p w14:paraId="11AA80F1" w14:textId="77777777" w:rsidR="00100C92" w:rsidRPr="000C5C4E" w:rsidRDefault="00100C92" w:rsidP="00100C92">
      <w:pPr>
        <w:spacing w:after="0"/>
        <w:rPr>
          <w:rFonts w:ascii="Open Sans" w:eastAsia="Times New Roman" w:hAnsi="Open Sans" w:cs="Open Sans Light"/>
          <w:sz w:val="20"/>
          <w:szCs w:val="20"/>
          <w:lang w:eastAsia="en-GB"/>
        </w:rPr>
      </w:pPr>
      <w:r w:rsidRPr="000C5C4E">
        <w:rPr>
          <w:rFonts w:ascii="Open Sans" w:eastAsia="Times New Roman" w:hAnsi="Open Sans" w:cs="Open Sans Light"/>
          <w:sz w:val="20"/>
          <w:szCs w:val="20"/>
          <w:lang w:eastAsia="en-GB"/>
        </w:rPr>
        <w:t>Sont exclues les fenêtres en bois avec une couverture métallique et un rail anti-pluie, ainsi que les constructions qui sont revêtues de profilés en bois du côté de la chambre.</w:t>
      </w:r>
    </w:p>
    <w:p w14:paraId="552158AB" w14:textId="77777777" w:rsidR="00100C92" w:rsidRDefault="00100C92" w:rsidP="00100C92">
      <w:pPr>
        <w:spacing w:after="0"/>
        <w:rPr>
          <w:rFonts w:ascii="Open Sans" w:eastAsia="Times New Roman" w:hAnsi="Open Sans" w:cs="Open Sans Light"/>
          <w:sz w:val="20"/>
          <w:szCs w:val="20"/>
          <w:lang w:val="de-DE" w:eastAsia="en-GB"/>
        </w:rPr>
      </w:pPr>
      <w:r w:rsidRPr="000C5C4E">
        <w:rPr>
          <w:rFonts w:ascii="Open Sans" w:eastAsia="Times New Roman" w:hAnsi="Open Sans" w:cs="Open Sans Light"/>
          <w:sz w:val="20"/>
          <w:szCs w:val="20"/>
          <w:lang w:val="de-DE" w:eastAsia="en-GB"/>
        </w:rPr>
        <w:t>Pour des raisons de recyclage, les systèmes de profilés en mousse ne sont pas autorisés.</w:t>
      </w:r>
    </w:p>
    <w:p w14:paraId="7B537E05" w14:textId="77777777" w:rsidR="00100C92" w:rsidRPr="000C5C4E" w:rsidRDefault="00100C92" w:rsidP="00100C92">
      <w:pPr>
        <w:spacing w:after="0"/>
        <w:rPr>
          <w:rFonts w:ascii="Open Sans" w:hAnsi="Open Sans" w:cs="Open Sans Light"/>
          <w:lang w:val="de-DE"/>
        </w:rPr>
      </w:pPr>
    </w:p>
    <w:p w14:paraId="4D168738" w14:textId="77777777" w:rsidR="00100C92" w:rsidRDefault="00100C92" w:rsidP="00100C92">
      <w:pPr>
        <w:spacing w:after="0"/>
        <w:rPr>
          <w:rFonts w:ascii="Open Sans" w:hAnsi="Open Sans" w:cs="Open Sans Light"/>
          <w:b/>
          <w:bCs/>
          <w:sz w:val="20"/>
          <w:szCs w:val="20"/>
        </w:rPr>
      </w:pPr>
      <w:r w:rsidRPr="000C5C4E">
        <w:rPr>
          <w:rFonts w:ascii="Open Sans" w:hAnsi="Open Sans" w:cs="Open Sans Light"/>
          <w:b/>
          <w:bCs/>
          <w:sz w:val="20"/>
          <w:szCs w:val="20"/>
        </w:rPr>
        <w:t>Vitrages</w:t>
      </w:r>
    </w:p>
    <w:p w14:paraId="744E3D7E" w14:textId="77777777" w:rsidR="00100C92" w:rsidRPr="000C5C4E" w:rsidRDefault="00100C92" w:rsidP="00100C92">
      <w:pPr>
        <w:spacing w:after="0"/>
        <w:rPr>
          <w:rFonts w:ascii="Open Sans" w:hAnsi="Open Sans" w:cs="Open Sans Light"/>
          <w:b/>
          <w:bCs/>
          <w:sz w:val="20"/>
          <w:szCs w:val="20"/>
        </w:rPr>
      </w:pPr>
    </w:p>
    <w:p w14:paraId="7899F5EB" w14:textId="77777777" w:rsidR="00100C92" w:rsidRPr="000C5C4E" w:rsidRDefault="00100C92" w:rsidP="00100C92">
      <w:pPr>
        <w:spacing w:after="0"/>
        <w:rPr>
          <w:rFonts w:ascii="Open Sans" w:hAnsi="Open Sans" w:cs="Open Sans Light"/>
          <w:b/>
          <w:bCs/>
          <w:sz w:val="20"/>
          <w:szCs w:val="20"/>
        </w:rPr>
      </w:pPr>
      <w:r w:rsidRPr="000C5C4E">
        <w:rPr>
          <w:rFonts w:ascii="Open Sans" w:hAnsi="Open Sans" w:cs="Open Sans Light"/>
          <w:b/>
          <w:bCs/>
          <w:sz w:val="20"/>
          <w:szCs w:val="20"/>
        </w:rPr>
        <w:t>Informations techniques</w:t>
      </w:r>
    </w:p>
    <w:p w14:paraId="457C2EFC" w14:textId="77777777" w:rsidR="00100C92" w:rsidRPr="000C5C4E" w:rsidRDefault="00100C92" w:rsidP="00100C92">
      <w:pPr>
        <w:spacing w:after="0"/>
        <w:rPr>
          <w:rFonts w:ascii="Open Sans" w:hAnsi="Open Sans" w:cs="Open Sans Light"/>
          <w:sz w:val="20"/>
          <w:szCs w:val="20"/>
        </w:rPr>
      </w:pPr>
      <w:r w:rsidRPr="000C5C4E">
        <w:rPr>
          <w:rFonts w:ascii="Open Sans" w:hAnsi="Open Sans" w:cs="Open Sans Light"/>
          <w:sz w:val="20"/>
          <w:szCs w:val="20"/>
        </w:rPr>
        <w:t>Transmission de la lumière TL : ____ (%)</w:t>
      </w:r>
    </w:p>
    <w:p w14:paraId="482341B4" w14:textId="77777777" w:rsidR="00100C92" w:rsidRPr="000C5C4E" w:rsidRDefault="00100C92" w:rsidP="00100C92">
      <w:pPr>
        <w:spacing w:after="0"/>
        <w:rPr>
          <w:rFonts w:ascii="Open Sans" w:hAnsi="Open Sans" w:cs="Open Sans Light"/>
          <w:sz w:val="20"/>
          <w:szCs w:val="20"/>
        </w:rPr>
      </w:pPr>
      <w:r w:rsidRPr="000C5C4E">
        <w:rPr>
          <w:rFonts w:ascii="Open Sans" w:hAnsi="Open Sans" w:cs="Open Sans Light"/>
          <w:sz w:val="20"/>
          <w:szCs w:val="20"/>
        </w:rPr>
        <w:t>Perméabilité énergétique totale g : ____ (%)</w:t>
      </w:r>
    </w:p>
    <w:p w14:paraId="0B9C6D29" w14:textId="77777777" w:rsidR="00100C92" w:rsidRPr="000C5C4E" w:rsidRDefault="00100C92" w:rsidP="00100C92">
      <w:pPr>
        <w:spacing w:after="0"/>
        <w:rPr>
          <w:rFonts w:ascii="Open Sans" w:hAnsi="Open Sans" w:cs="Open Sans Light"/>
          <w:sz w:val="20"/>
          <w:szCs w:val="20"/>
          <w:lang w:val="de-DE"/>
        </w:rPr>
      </w:pPr>
      <w:r w:rsidRPr="000C5C4E">
        <w:rPr>
          <w:rFonts w:ascii="Open Sans" w:hAnsi="Open Sans" w:cs="Open Sans Light"/>
          <w:sz w:val="20"/>
          <w:szCs w:val="20"/>
          <w:lang w:val="de-DE"/>
        </w:rPr>
        <w:t>Réflexion de la lumière en dehors de la RLa : ____ (%)</w:t>
      </w:r>
    </w:p>
    <w:p w14:paraId="0B147E69" w14:textId="77777777" w:rsidR="00100C92" w:rsidRPr="000C5C4E" w:rsidRDefault="00100C92" w:rsidP="00100C92">
      <w:pPr>
        <w:spacing w:after="0"/>
        <w:rPr>
          <w:rFonts w:ascii="Open Sans" w:hAnsi="Open Sans" w:cs="Open Sans Light"/>
          <w:sz w:val="20"/>
          <w:szCs w:val="20"/>
        </w:rPr>
      </w:pPr>
      <w:r w:rsidRPr="000C5C4E">
        <w:rPr>
          <w:rFonts w:ascii="Open Sans" w:hAnsi="Open Sans" w:cs="Open Sans Light"/>
          <w:sz w:val="20"/>
          <w:szCs w:val="20"/>
        </w:rPr>
        <w:t>Valeur Ug : ______ (W/m²K)</w:t>
      </w:r>
    </w:p>
    <w:p w14:paraId="2C4244AF" w14:textId="77777777" w:rsidR="00100C92" w:rsidRPr="000C5C4E" w:rsidRDefault="00100C92" w:rsidP="00100C92">
      <w:pPr>
        <w:spacing w:after="0"/>
        <w:rPr>
          <w:rFonts w:ascii="Open Sans" w:hAnsi="Open Sans" w:cs="Open Sans Light"/>
          <w:sz w:val="20"/>
          <w:szCs w:val="20"/>
        </w:rPr>
      </w:pPr>
      <w:r w:rsidRPr="000C5C4E">
        <w:rPr>
          <w:rFonts w:ascii="Open Sans" w:hAnsi="Open Sans" w:cs="Open Sans Light"/>
          <w:sz w:val="20"/>
          <w:szCs w:val="20"/>
        </w:rPr>
        <w:t>Dimension de l'isolation acoustique Rw : ____ (dB)</w:t>
      </w:r>
    </w:p>
    <w:p w14:paraId="0551AC71" w14:textId="77777777" w:rsidR="00100C92" w:rsidRPr="000C5C4E" w:rsidRDefault="00100C92" w:rsidP="00100C92">
      <w:pPr>
        <w:spacing w:after="0"/>
        <w:rPr>
          <w:rFonts w:ascii="Open Sans" w:hAnsi="Open Sans" w:cs="Open Sans Light"/>
          <w:sz w:val="20"/>
          <w:szCs w:val="20"/>
        </w:rPr>
      </w:pPr>
      <w:r w:rsidRPr="000C5C4E">
        <w:rPr>
          <w:rFonts w:ascii="Open Sans" w:hAnsi="Open Sans" w:cs="Open Sans Light"/>
          <w:sz w:val="20"/>
          <w:szCs w:val="20"/>
        </w:rPr>
        <w:t xml:space="preserve">Valeurs lumineuses et énergétiques selon la norme DIN EN 410. </w:t>
      </w:r>
    </w:p>
    <w:p w14:paraId="56F1C261" w14:textId="77777777" w:rsidR="00100C92" w:rsidRDefault="00100C92" w:rsidP="00100C92">
      <w:pPr>
        <w:spacing w:after="0"/>
        <w:rPr>
          <w:rFonts w:ascii="Open Sans" w:hAnsi="Open Sans" w:cs="Open Sans Light"/>
          <w:sz w:val="20"/>
          <w:szCs w:val="20"/>
        </w:rPr>
      </w:pPr>
    </w:p>
    <w:p w14:paraId="0632923D" w14:textId="77777777" w:rsidR="00100C92" w:rsidRDefault="00100C92" w:rsidP="00100C92">
      <w:pPr>
        <w:spacing w:after="0"/>
        <w:rPr>
          <w:rFonts w:ascii="Open Sans" w:hAnsi="Open Sans" w:cs="Open Sans Light"/>
          <w:sz w:val="20"/>
          <w:szCs w:val="20"/>
        </w:rPr>
      </w:pPr>
    </w:p>
    <w:p w14:paraId="29512DBD" w14:textId="13BAF415" w:rsidR="00100C92" w:rsidRPr="000C5C4E" w:rsidRDefault="00100C92" w:rsidP="00100C92">
      <w:pPr>
        <w:spacing w:after="0"/>
        <w:rPr>
          <w:rFonts w:ascii="Open Sans" w:hAnsi="Open Sans" w:cs="Open Sans Light"/>
          <w:sz w:val="20"/>
          <w:szCs w:val="20"/>
        </w:rPr>
      </w:pPr>
      <w:r w:rsidRPr="000C5C4E">
        <w:rPr>
          <w:rFonts w:ascii="Open Sans" w:hAnsi="Open Sans" w:cs="Open Sans Light"/>
          <w:sz w:val="20"/>
          <w:szCs w:val="20"/>
        </w:rPr>
        <w:t xml:space="preserve">La valeur Ug indiquée a été calculée selon la norme DIN EN 673. </w:t>
      </w:r>
    </w:p>
    <w:p w14:paraId="2A547877" w14:textId="77777777" w:rsidR="00100C92" w:rsidRPr="000C5C4E" w:rsidRDefault="00100C92" w:rsidP="00100C92">
      <w:pPr>
        <w:spacing w:after="0"/>
        <w:rPr>
          <w:rFonts w:ascii="Open Sans" w:hAnsi="Open Sans" w:cs="Open Sans Light"/>
          <w:sz w:val="20"/>
          <w:szCs w:val="20"/>
        </w:rPr>
      </w:pPr>
    </w:p>
    <w:p w14:paraId="059E27AE" w14:textId="77777777" w:rsidR="00100C92" w:rsidRPr="000C5C4E" w:rsidRDefault="00100C92" w:rsidP="00100C92">
      <w:pPr>
        <w:spacing w:after="0"/>
        <w:rPr>
          <w:rFonts w:ascii="Open Sans" w:hAnsi="Open Sans" w:cs="Open Sans Light"/>
          <w:sz w:val="20"/>
          <w:szCs w:val="20"/>
        </w:rPr>
      </w:pPr>
      <w:r w:rsidRPr="000C5C4E">
        <w:rPr>
          <w:rFonts w:ascii="Open Sans" w:hAnsi="Open Sans" w:cs="Open Sans Light"/>
          <w:b/>
          <w:bCs/>
          <w:sz w:val="20"/>
          <w:szCs w:val="20"/>
        </w:rPr>
        <w:t>Isolation thermique des éléments (Uw) selon l'ENEV</w:t>
      </w:r>
      <w:r w:rsidRPr="000C5C4E">
        <w:rPr>
          <w:rFonts w:ascii="Open Sans" w:hAnsi="Open Sans" w:cs="Open Sans Light"/>
          <w:sz w:val="20"/>
          <w:szCs w:val="20"/>
        </w:rPr>
        <w:t xml:space="preserve"> : règlement sur l'isolation thermique et l'ingénierie des systèmes d'économie d'énergie dans les bâtiments.</w:t>
      </w:r>
    </w:p>
    <w:p w14:paraId="1F64E567" w14:textId="77777777" w:rsidR="00100C92" w:rsidRPr="000C5C4E" w:rsidRDefault="00100C92" w:rsidP="00100C92">
      <w:pPr>
        <w:spacing w:after="0"/>
        <w:rPr>
          <w:rFonts w:ascii="Open Sans" w:hAnsi="Open Sans" w:cs="Open Sans Light"/>
          <w:sz w:val="20"/>
          <w:szCs w:val="20"/>
        </w:rPr>
      </w:pPr>
      <w:r w:rsidRPr="000C5C4E">
        <w:rPr>
          <w:rFonts w:ascii="Open Sans" w:hAnsi="Open Sans" w:cs="Open Sans Light"/>
          <w:sz w:val="20"/>
          <w:szCs w:val="20"/>
        </w:rPr>
        <w:t xml:space="preserve"> </w:t>
      </w:r>
    </w:p>
    <w:p w14:paraId="7CC153D1" w14:textId="77777777" w:rsidR="00100C92" w:rsidRPr="000C5C4E" w:rsidRDefault="00100C92" w:rsidP="00100C92">
      <w:pPr>
        <w:spacing w:after="0"/>
        <w:rPr>
          <w:rFonts w:ascii="Open Sans" w:hAnsi="Open Sans" w:cs="Open Sans Light"/>
          <w:sz w:val="20"/>
          <w:szCs w:val="20"/>
        </w:rPr>
      </w:pPr>
      <w:r w:rsidRPr="000C5C4E">
        <w:rPr>
          <w:rFonts w:ascii="Open Sans" w:hAnsi="Open Sans" w:cs="Open Sans Light"/>
          <w:sz w:val="20"/>
          <w:szCs w:val="20"/>
        </w:rPr>
        <w:t>Éléments de fenêtres / de façades Vitrages</w:t>
      </w:r>
    </w:p>
    <w:p w14:paraId="1FB969FF" w14:textId="77777777" w:rsidR="00100C92" w:rsidRPr="000C5C4E" w:rsidRDefault="00100C92" w:rsidP="00100C92">
      <w:pPr>
        <w:spacing w:after="0"/>
        <w:rPr>
          <w:rFonts w:ascii="Open Sans" w:hAnsi="Open Sans" w:cs="Open Sans Light"/>
          <w:sz w:val="20"/>
          <w:szCs w:val="20"/>
        </w:rPr>
      </w:pPr>
      <w:r w:rsidRPr="000C5C4E">
        <w:rPr>
          <w:rFonts w:ascii="Open Sans" w:hAnsi="Open Sans" w:cs="Open Sans Light"/>
          <w:sz w:val="20"/>
          <w:szCs w:val="20"/>
        </w:rPr>
        <w:t>Coefficient de transfert thermique de l'élément de fenêtre</w:t>
      </w:r>
    </w:p>
    <w:p w14:paraId="272412DC" w14:textId="77777777" w:rsidR="00100C92" w:rsidRPr="000C5C4E" w:rsidRDefault="00100C92" w:rsidP="00100C92">
      <w:pPr>
        <w:spacing w:after="0"/>
        <w:rPr>
          <w:rFonts w:ascii="Open Sans" w:hAnsi="Open Sans" w:cs="Open Sans Light"/>
          <w:sz w:val="20"/>
          <w:szCs w:val="20"/>
        </w:rPr>
      </w:pPr>
      <w:r w:rsidRPr="000C5C4E">
        <w:rPr>
          <w:rFonts w:ascii="Open Sans" w:hAnsi="Open Sans" w:cs="Open Sans Light"/>
          <w:sz w:val="20"/>
          <w:szCs w:val="20"/>
        </w:rPr>
        <w:t>Uw = W/m²K</w:t>
      </w:r>
    </w:p>
    <w:p w14:paraId="2DF456BE" w14:textId="77777777" w:rsidR="00100C92" w:rsidRPr="000C5C4E" w:rsidRDefault="00100C92" w:rsidP="00100C92">
      <w:pPr>
        <w:spacing w:after="0"/>
        <w:rPr>
          <w:rFonts w:ascii="Open Sans" w:hAnsi="Open Sans" w:cs="Open Sans Light"/>
          <w:sz w:val="20"/>
          <w:szCs w:val="20"/>
        </w:rPr>
      </w:pPr>
      <w:r w:rsidRPr="000C5C4E">
        <w:rPr>
          <w:rFonts w:ascii="Open Sans" w:hAnsi="Open Sans" w:cs="Open Sans Light"/>
          <w:sz w:val="20"/>
          <w:szCs w:val="20"/>
        </w:rPr>
        <w:t>Coefficient de transfert thermique de l'élément de façade</w:t>
      </w:r>
    </w:p>
    <w:p w14:paraId="11B0822E" w14:textId="77777777" w:rsidR="00100C92" w:rsidRPr="000C5C4E" w:rsidRDefault="00100C92" w:rsidP="00100C92">
      <w:pPr>
        <w:spacing w:after="0"/>
        <w:rPr>
          <w:rFonts w:ascii="Open Sans" w:hAnsi="Open Sans" w:cs="Open Sans Light"/>
          <w:sz w:val="20"/>
          <w:szCs w:val="20"/>
        </w:rPr>
      </w:pPr>
      <w:r w:rsidRPr="000C5C4E">
        <w:rPr>
          <w:rFonts w:ascii="Open Sans" w:hAnsi="Open Sans" w:cs="Open Sans Light"/>
          <w:sz w:val="20"/>
          <w:szCs w:val="20"/>
        </w:rPr>
        <w:t>Ucw = W/m²K</w:t>
      </w:r>
    </w:p>
    <w:p w14:paraId="3B7ED94E" w14:textId="77777777" w:rsidR="00100C92" w:rsidRPr="000C5C4E" w:rsidRDefault="00100C92" w:rsidP="00100C92">
      <w:pPr>
        <w:spacing w:after="0"/>
        <w:rPr>
          <w:rFonts w:ascii="Open Sans" w:hAnsi="Open Sans" w:cs="Open Sans Light"/>
          <w:sz w:val="20"/>
          <w:szCs w:val="20"/>
        </w:rPr>
      </w:pPr>
      <w:r w:rsidRPr="000C5C4E">
        <w:rPr>
          <w:rFonts w:ascii="Open Sans" w:hAnsi="Open Sans" w:cs="Open Sans Light"/>
          <w:sz w:val="20"/>
          <w:szCs w:val="20"/>
        </w:rPr>
        <w:t>Coefficient de transfert thermique de l'élément de porte</w:t>
      </w:r>
    </w:p>
    <w:p w14:paraId="0C6360D4" w14:textId="77777777" w:rsidR="00100C92" w:rsidRPr="000C5C4E" w:rsidRDefault="00100C92" w:rsidP="00100C92">
      <w:pPr>
        <w:spacing w:after="0"/>
        <w:rPr>
          <w:lang w:val="de-DE"/>
        </w:rPr>
      </w:pPr>
      <w:r w:rsidRPr="000C5C4E">
        <w:rPr>
          <w:rFonts w:ascii="Open Sans" w:hAnsi="Open Sans" w:cs="Open Sans Light"/>
          <w:sz w:val="20"/>
          <w:szCs w:val="20"/>
          <w:lang w:val="de-DE"/>
        </w:rPr>
        <w:t>Ud = W/m²K</w:t>
      </w:r>
    </w:p>
    <w:p w14:paraId="6D994F6D" w14:textId="77777777" w:rsidR="00650533" w:rsidRPr="00100C92" w:rsidRDefault="00650533" w:rsidP="00100C92"/>
    <w:sectPr w:rsidR="00650533" w:rsidRPr="00100C92" w:rsidSect="009D15E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26832" w14:textId="77777777" w:rsidR="00A869A5" w:rsidRDefault="00A869A5" w:rsidP="00650533">
      <w:pPr>
        <w:spacing w:after="0" w:line="240" w:lineRule="auto"/>
      </w:pPr>
      <w:r>
        <w:separator/>
      </w:r>
    </w:p>
  </w:endnote>
  <w:endnote w:type="continuationSeparator" w:id="0">
    <w:p w14:paraId="1831A9BD" w14:textId="77777777" w:rsidR="00A869A5" w:rsidRDefault="00A869A5" w:rsidP="0065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885147"/>
      <w:docPartObj>
        <w:docPartGallery w:val="Page Numbers (Bottom of Page)"/>
        <w:docPartUnique/>
      </w:docPartObj>
    </w:sdtPr>
    <w:sdtEndPr/>
    <w:sdtContent>
      <w:p w14:paraId="57A92682" w14:textId="6EAD4977" w:rsidR="00650533" w:rsidRDefault="00650533">
        <w:pPr>
          <w:pStyle w:val="Fuzeile"/>
        </w:pPr>
        <w:r w:rsidRPr="00650533">
          <w:rPr>
            <w:rFonts w:asciiTheme="majorHAnsi" w:eastAsiaTheme="majorEastAsia" w:hAnsiTheme="majorHAnsi" w:cstheme="majorBidi"/>
            <w:noProof/>
            <w:sz w:val="20"/>
            <w:szCs w:val="20"/>
          </w:rPr>
          <mc:AlternateContent>
            <mc:Choice Requires="wps">
              <w:drawing>
                <wp:anchor distT="0" distB="0" distL="114300" distR="114300" simplePos="0" relativeHeight="251659264" behindDoc="0" locked="0" layoutInCell="1" allowOverlap="1" wp14:anchorId="6C72AC2D" wp14:editId="3AE325C9">
                  <wp:simplePos x="0" y="0"/>
                  <wp:positionH relativeFrom="page">
                    <wp:align>right</wp:align>
                  </wp:positionH>
                  <wp:positionV relativeFrom="page">
                    <wp:align>bottom</wp:align>
                  </wp:positionV>
                  <wp:extent cx="2125980" cy="2054860"/>
                  <wp:effectExtent l="0" t="0" r="7620" b="2540"/>
                  <wp:wrapNone/>
                  <wp:docPr id="3" name="Gleichschenkliges Drei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gradFill flip="none" rotWithShape="1">
                            <a:gsLst>
                              <a:gs pos="0">
                                <a:srgbClr val="A2C418">
                                  <a:tint val="66000"/>
                                  <a:satMod val="160000"/>
                                </a:srgbClr>
                              </a:gs>
                              <a:gs pos="50000">
                                <a:srgbClr val="A2C418">
                                  <a:tint val="44500"/>
                                  <a:satMod val="160000"/>
                                </a:srgbClr>
                              </a:gs>
                              <a:gs pos="100000">
                                <a:srgbClr val="A2C418">
                                  <a:tint val="23500"/>
                                  <a:satMod val="160000"/>
                                </a:srgbClr>
                              </a:gs>
                            </a:gsLst>
                            <a:lin ang="10800000" scaled="1"/>
                            <a:tileRect/>
                          </a:gradFill>
                          <a:ln>
                            <a:noFill/>
                          </a:ln>
                        </wps:spPr>
                        <wps:txbx>
                          <w:txbxContent>
                            <w:p w14:paraId="624EC518" w14:textId="77777777" w:rsidR="00650533" w:rsidRDefault="00650533">
                              <w:pPr>
                                <w:jc w:val="center"/>
                                <w:rPr>
                                  <w:rFonts w:ascii="Open Sans" w:eastAsiaTheme="minorEastAsia" w:hAnsi="Open Sans" w:cs="Open Sans"/>
                                  <w:b/>
                                  <w:bCs/>
                                  <w:sz w:val="4"/>
                                  <w:szCs w:val="4"/>
                                </w:rPr>
                              </w:pPr>
                            </w:p>
                            <w:p w14:paraId="3739A99E" w14:textId="77777777" w:rsidR="00650533" w:rsidRDefault="00650533">
                              <w:pPr>
                                <w:jc w:val="center"/>
                                <w:rPr>
                                  <w:rFonts w:ascii="Open Sans" w:eastAsiaTheme="minorEastAsia" w:hAnsi="Open Sans" w:cs="Open Sans"/>
                                  <w:b/>
                                  <w:bCs/>
                                  <w:sz w:val="4"/>
                                  <w:szCs w:val="4"/>
                                </w:rPr>
                              </w:pPr>
                            </w:p>
                            <w:p w14:paraId="06442965" w14:textId="3A2CDD1B" w:rsidR="00650533" w:rsidRPr="00650533" w:rsidRDefault="00650533">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2AC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" adj="21600" fillcolor="#cfec8d" stroked="f">
                  <v:fill color2="#eff8de" rotate="t" angle="270" colors="0 #cfec8d;.5 #e0f1bb;1 #eff8de" focus="100%" type="gradient"/>
                  <v:textbox>
                    <w:txbxContent>
                      <w:p w14:paraId="624EC518" w14:textId="77777777" w:rsidR="00650533" w:rsidRDefault="00650533">
                        <w:pPr>
                          <w:jc w:val="center"/>
                          <w:rPr>
                            <w:rFonts w:ascii="Open Sans" w:eastAsiaTheme="minorEastAsia" w:hAnsi="Open Sans" w:cs="Open Sans"/>
                            <w:b/>
                            <w:bCs/>
                            <w:sz w:val="4"/>
                            <w:szCs w:val="4"/>
                          </w:rPr>
                        </w:pPr>
                      </w:p>
                      <w:p w14:paraId="3739A99E" w14:textId="77777777" w:rsidR="00650533" w:rsidRDefault="00650533">
                        <w:pPr>
                          <w:jc w:val="center"/>
                          <w:rPr>
                            <w:rFonts w:ascii="Open Sans" w:eastAsiaTheme="minorEastAsia" w:hAnsi="Open Sans" w:cs="Open Sans"/>
                            <w:b/>
                            <w:bCs/>
                            <w:sz w:val="4"/>
                            <w:szCs w:val="4"/>
                          </w:rPr>
                        </w:pPr>
                      </w:p>
                      <w:p w14:paraId="06442965" w14:textId="3A2CDD1B" w:rsidR="00650533" w:rsidRPr="00650533" w:rsidRDefault="00650533">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414EB" w14:textId="77777777" w:rsidR="00A869A5" w:rsidRDefault="00A869A5" w:rsidP="00650533">
      <w:pPr>
        <w:spacing w:after="0" w:line="240" w:lineRule="auto"/>
      </w:pPr>
      <w:r>
        <w:separator/>
      </w:r>
    </w:p>
  </w:footnote>
  <w:footnote w:type="continuationSeparator" w:id="0">
    <w:p w14:paraId="46AEBBB1" w14:textId="77777777" w:rsidR="00A869A5" w:rsidRDefault="00A869A5" w:rsidP="00650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2A75B" w14:textId="79AD0564" w:rsidR="00650533" w:rsidRDefault="00650533" w:rsidP="00650533">
    <w:pPr>
      <w:pStyle w:val="Kopfzeile"/>
      <w:tabs>
        <w:tab w:val="left" w:pos="1020"/>
      </w:tabs>
    </w:pPr>
    <w:r>
      <w:tab/>
    </w:r>
    <w:r>
      <w:tab/>
    </w:r>
    <w:r>
      <w:tab/>
    </w:r>
    <w:r>
      <w:rPr>
        <w:noProof/>
      </w:rPr>
      <w:drawing>
        <wp:inline distT="0" distB="0" distL="0" distR="0" wp14:anchorId="7F39209D" wp14:editId="606D4CDE">
          <wp:extent cx="1655445" cy="546341"/>
          <wp:effectExtent l="0" t="0" r="1905" b="635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67449" cy="5503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1A"/>
    <w:rsid w:val="0009194B"/>
    <w:rsid w:val="00100C92"/>
    <w:rsid w:val="00154221"/>
    <w:rsid w:val="00204304"/>
    <w:rsid w:val="00277F1D"/>
    <w:rsid w:val="003766C9"/>
    <w:rsid w:val="00451AA3"/>
    <w:rsid w:val="004A074D"/>
    <w:rsid w:val="005525AE"/>
    <w:rsid w:val="00650533"/>
    <w:rsid w:val="006A2CAE"/>
    <w:rsid w:val="00740712"/>
    <w:rsid w:val="00775AEB"/>
    <w:rsid w:val="007F2ED9"/>
    <w:rsid w:val="008D597C"/>
    <w:rsid w:val="00941CAF"/>
    <w:rsid w:val="009A6184"/>
    <w:rsid w:val="009B101A"/>
    <w:rsid w:val="009D15E5"/>
    <w:rsid w:val="00A327AB"/>
    <w:rsid w:val="00A869A5"/>
    <w:rsid w:val="00B92936"/>
    <w:rsid w:val="00C738F9"/>
    <w:rsid w:val="00E15EF7"/>
    <w:rsid w:val="00FD549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3FD1E"/>
  <w15:chartTrackingRefBased/>
  <w15:docId w15:val="{CAE1F7BD-1689-44A0-AB5A-F46066A1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6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B10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650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0533"/>
  </w:style>
  <w:style w:type="paragraph" w:styleId="Fuzeile">
    <w:name w:val="footer"/>
    <w:basedOn w:val="Standard"/>
    <w:link w:val="FuzeileZchn"/>
    <w:uiPriority w:val="99"/>
    <w:unhideWhenUsed/>
    <w:rsid w:val="00650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0533"/>
  </w:style>
  <w:style w:type="paragraph" w:customStyle="1" w:styleId="msonormal0">
    <w:name w:val="msonormal"/>
    <w:basedOn w:val="Standard"/>
    <w:rsid w:val="00277F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70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9B4F-E144-4BBD-A821-AA6EB49D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Kositz</dc:creator>
  <cp:keywords/>
  <dc:description/>
  <cp:lastModifiedBy>Katrin Kositz</cp:lastModifiedBy>
  <cp:revision>3</cp:revision>
  <dcterms:created xsi:type="dcterms:W3CDTF">2020-12-08T09:31:00Z</dcterms:created>
  <dcterms:modified xsi:type="dcterms:W3CDTF">2020-12-08T09:34:00Z</dcterms:modified>
</cp:coreProperties>
</file>