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9157E" w14:textId="77777777" w:rsidR="0005547B" w:rsidRDefault="0005547B" w:rsidP="003766C9">
      <w:pPr>
        <w:pStyle w:val="StandardWeb"/>
        <w:spacing w:before="0" w:beforeAutospacing="0" w:after="0" w:afterAutospacing="0"/>
        <w:rPr>
          <w:rFonts w:ascii="Open Sans" w:hAnsi="Open Sans" w:cs="Open Sans Light"/>
          <w:b/>
          <w:bCs/>
          <w:sz w:val="20"/>
          <w:szCs w:val="20"/>
          <w:lang w:val="de-DE"/>
        </w:rPr>
      </w:pPr>
    </w:p>
    <w:p w14:paraId="41F605F8" w14:textId="71353404" w:rsidR="003766C9" w:rsidRPr="00882ED2" w:rsidRDefault="0005547B" w:rsidP="003766C9">
      <w:pPr>
        <w:pStyle w:val="StandardWeb"/>
        <w:spacing w:before="0" w:beforeAutospacing="0" w:after="0" w:afterAutospacing="0"/>
        <w:rPr>
          <w:rFonts w:ascii="Open Sans" w:hAnsi="Open Sans" w:cs="Open Sans Light"/>
          <w:b/>
          <w:bCs/>
          <w:sz w:val="20"/>
          <w:szCs w:val="20"/>
        </w:rPr>
      </w:pPr>
      <w:r w:rsidRPr="00882ED2">
        <w:rPr>
          <w:rFonts w:ascii="Open Sans" w:hAnsi="Open Sans" w:cs="Open Sans Light"/>
          <w:b/>
          <w:bCs/>
          <w:sz w:val="20"/>
          <w:szCs w:val="20"/>
        </w:rPr>
        <w:t xml:space="preserve">Construction </w:t>
      </w:r>
      <w:r w:rsidR="00E006DA" w:rsidRPr="00882ED2">
        <w:rPr>
          <w:rFonts w:ascii="Open Sans" w:hAnsi="Open Sans" w:cs="Open Sans Light"/>
          <w:b/>
          <w:bCs/>
          <w:sz w:val="20"/>
          <w:szCs w:val="20"/>
        </w:rPr>
        <w:t>D</w:t>
      </w:r>
      <w:r w:rsidRPr="00882ED2">
        <w:rPr>
          <w:rFonts w:ascii="Open Sans" w:hAnsi="Open Sans" w:cs="Open Sans Light"/>
          <w:b/>
          <w:bCs/>
          <w:sz w:val="20"/>
          <w:szCs w:val="20"/>
        </w:rPr>
        <w:t>escription</w:t>
      </w:r>
    </w:p>
    <w:p w14:paraId="164FCFB1" w14:textId="77777777" w:rsidR="003766C9" w:rsidRPr="00882ED2" w:rsidRDefault="003766C9" w:rsidP="003766C9">
      <w:pPr>
        <w:pStyle w:val="StandardWeb"/>
        <w:spacing w:before="0" w:beforeAutospacing="0" w:after="0" w:afterAutospacing="0"/>
        <w:rPr>
          <w:rFonts w:ascii="Open Sans" w:hAnsi="Open Sans" w:cs="Open Sans Light"/>
          <w:sz w:val="20"/>
          <w:szCs w:val="20"/>
        </w:rPr>
      </w:pPr>
      <w:r w:rsidRPr="00882ED2">
        <w:rPr>
          <w:rFonts w:ascii="Open Sans" w:hAnsi="Open Sans" w:cs="Open Sans Light"/>
          <w:sz w:val="20"/>
          <w:szCs w:val="20"/>
        </w:rPr>
        <w:t> </w:t>
      </w:r>
    </w:p>
    <w:p w14:paraId="267325E3" w14:textId="2E4DC46F" w:rsidR="0005547B" w:rsidRDefault="0005547B" w:rsidP="003766C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xml:space="preserve">Profile series for the production of wood-aluminium systems with equal wood thicknesses of sash and frame system AC20 </w:t>
      </w:r>
      <w:r w:rsidR="00136E14">
        <w:rPr>
          <w:rFonts w:ascii="Open Sans" w:hAnsi="Open Sans" w:cs="Open Sans Light"/>
          <w:sz w:val="20"/>
          <w:szCs w:val="20"/>
        </w:rPr>
        <w:t>CS</w:t>
      </w:r>
      <w:r w:rsidRPr="0005547B">
        <w:rPr>
          <w:rFonts w:ascii="Open Sans" w:hAnsi="Open Sans" w:cs="Open Sans Light"/>
          <w:sz w:val="20"/>
          <w:szCs w:val="20"/>
        </w:rPr>
        <w:t>.</w:t>
      </w:r>
      <w:r w:rsidR="00882ED2">
        <w:rPr>
          <w:rFonts w:ascii="Open Sans" w:hAnsi="Open Sans" w:cs="Open Sans Light"/>
          <w:sz w:val="20"/>
          <w:szCs w:val="20"/>
        </w:rPr>
        <w:t xml:space="preserve"> </w:t>
      </w:r>
    </w:p>
    <w:p w14:paraId="2CC73B2E" w14:textId="435EC9DE" w:rsidR="003766C9" w:rsidRPr="0005547B" w:rsidRDefault="003766C9" w:rsidP="003766C9">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sz w:val="20"/>
          <w:szCs w:val="20"/>
        </w:rPr>
        <w:t> </w:t>
      </w:r>
    </w:p>
    <w:p w14:paraId="0096CD41" w14:textId="3B6AFC30" w:rsidR="0005547B" w:rsidRPr="0005547B" w:rsidRDefault="0005547B" w:rsidP="003766C9">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 xml:space="preserve">Technical </w:t>
      </w:r>
      <w:r w:rsidR="00E006DA">
        <w:rPr>
          <w:rFonts w:ascii="Open Sans" w:hAnsi="Open Sans" w:cs="Open Sans Light"/>
          <w:b/>
          <w:bCs/>
          <w:sz w:val="20"/>
          <w:szCs w:val="20"/>
        </w:rPr>
        <w:t>R</w:t>
      </w:r>
      <w:r w:rsidRPr="0005547B">
        <w:rPr>
          <w:rFonts w:ascii="Open Sans" w:hAnsi="Open Sans" w:cs="Open Sans Light"/>
          <w:b/>
          <w:bCs/>
          <w:sz w:val="20"/>
          <w:szCs w:val="20"/>
        </w:rPr>
        <w:t xml:space="preserve">equirements and </w:t>
      </w:r>
      <w:r w:rsidR="00E006DA">
        <w:rPr>
          <w:rFonts w:ascii="Open Sans" w:hAnsi="Open Sans" w:cs="Open Sans Light"/>
          <w:b/>
          <w:bCs/>
          <w:sz w:val="20"/>
          <w:szCs w:val="20"/>
        </w:rPr>
        <w:t>S</w:t>
      </w:r>
      <w:r w:rsidRPr="0005547B">
        <w:rPr>
          <w:rFonts w:ascii="Open Sans" w:hAnsi="Open Sans" w:cs="Open Sans Light"/>
          <w:b/>
          <w:bCs/>
          <w:sz w:val="20"/>
          <w:szCs w:val="20"/>
        </w:rPr>
        <w:t>ystem-</w:t>
      </w:r>
      <w:r w:rsidR="00E006DA">
        <w:rPr>
          <w:rFonts w:ascii="Open Sans" w:hAnsi="Open Sans" w:cs="Open Sans Light"/>
          <w:b/>
          <w:bCs/>
          <w:sz w:val="20"/>
          <w:szCs w:val="20"/>
        </w:rPr>
        <w:t>S</w:t>
      </w:r>
      <w:r w:rsidRPr="0005547B">
        <w:rPr>
          <w:rFonts w:ascii="Open Sans" w:hAnsi="Open Sans" w:cs="Open Sans Light"/>
          <w:b/>
          <w:bCs/>
          <w:sz w:val="20"/>
          <w:szCs w:val="20"/>
        </w:rPr>
        <w:t xml:space="preserve">pecific </w:t>
      </w:r>
      <w:r w:rsidR="00E006DA">
        <w:rPr>
          <w:rFonts w:ascii="Open Sans" w:hAnsi="Open Sans" w:cs="Open Sans Light"/>
          <w:b/>
          <w:bCs/>
          <w:sz w:val="20"/>
          <w:szCs w:val="20"/>
        </w:rPr>
        <w:t>V</w:t>
      </w:r>
      <w:r w:rsidRPr="0005547B">
        <w:rPr>
          <w:rFonts w:ascii="Open Sans" w:hAnsi="Open Sans" w:cs="Open Sans Light"/>
          <w:b/>
          <w:bCs/>
          <w:sz w:val="20"/>
          <w:szCs w:val="20"/>
        </w:rPr>
        <w:t>erifications</w:t>
      </w:r>
    </w:p>
    <w:p w14:paraId="62B458B3" w14:textId="416CA8DC" w:rsidR="0005547B" w:rsidRDefault="0005547B" w:rsidP="003766C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aluminium profiles are available in EN AW-6060 T66 in anodised quality and in accordance with DIN EN 755 and DIN EN 12020. The execution must be in accordance with the relevant standards and guidelines, the recognised rules of technology and the information provided by the system provider.</w:t>
      </w:r>
    </w:p>
    <w:p w14:paraId="431F4EE4" w14:textId="51CA8DF2" w:rsidR="003766C9" w:rsidRPr="0005547B" w:rsidRDefault="003766C9" w:rsidP="003766C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28896F45"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Driving rain resistance class 9a</w:t>
      </w:r>
    </w:p>
    <w:p w14:paraId="3B7E6363"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Air permeability class 4*.</w:t>
      </w:r>
    </w:p>
    <w:p w14:paraId="7AB7A514"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Operating forces Class 1</w:t>
      </w:r>
    </w:p>
    <w:p w14:paraId="7244E17B"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Suitability for RAL-tested windows system verification</w:t>
      </w:r>
    </w:p>
    <w:p w14:paraId="578B1734"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Suitable for anti-fall glazing according to</w:t>
      </w:r>
    </w:p>
    <w:p w14:paraId="764760F5" w14:textId="77777777" w:rsid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DIN 18008-4, category A,C2,C3 including test certificate.</w:t>
      </w:r>
    </w:p>
    <w:p w14:paraId="63BD3E9E" w14:textId="1AF64F28" w:rsidR="003766C9" w:rsidRPr="0005547B" w:rsidRDefault="003766C9"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26660E86" w14:textId="6C7E9F9E" w:rsidR="0005547B" w:rsidRPr="0005547B" w:rsidRDefault="0005547B" w:rsidP="0005547B">
      <w:pPr>
        <w:pStyle w:val="StandardWeb"/>
        <w:spacing w:after="0"/>
        <w:rPr>
          <w:rFonts w:ascii="Open Sans" w:hAnsi="Open Sans" w:cs="Open Sans Light"/>
          <w:sz w:val="20"/>
          <w:szCs w:val="20"/>
        </w:rPr>
      </w:pPr>
      <w:r w:rsidRPr="0005547B">
        <w:rPr>
          <w:rFonts w:ascii="Open Sans" w:hAnsi="Open Sans" w:cs="Open Sans Light"/>
          <w:sz w:val="20"/>
          <w:szCs w:val="20"/>
        </w:rPr>
        <w:t xml:space="preserve">* must also be for the invisibly screwed glazing bead if this is carried out. </w:t>
      </w:r>
    </w:p>
    <w:p w14:paraId="6250F183" w14:textId="6797ADAA" w:rsidR="003766C9"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Thermal insulation of the frame e.g. spruce, U - values according to DIN 10077-2:2003-10, Uf = 1.1 W/m²K depending on profile geometry</w:t>
      </w:r>
      <w:r>
        <w:rPr>
          <w:rFonts w:ascii="Open Sans" w:hAnsi="Open Sans" w:cs="Open Sans Light"/>
          <w:sz w:val="20"/>
          <w:szCs w:val="20"/>
        </w:rPr>
        <w:t>.</w:t>
      </w:r>
      <w:r w:rsidR="003766C9" w:rsidRPr="0005547B">
        <w:rPr>
          <w:rFonts w:ascii="Open Sans" w:hAnsi="Open Sans" w:cs="Open Sans Light"/>
          <w:sz w:val="20"/>
          <w:szCs w:val="20"/>
        </w:rPr>
        <w:t> </w:t>
      </w:r>
    </w:p>
    <w:p w14:paraId="564E2C8B" w14:textId="77777777" w:rsidR="003766C9" w:rsidRPr="0005547B" w:rsidRDefault="003766C9" w:rsidP="003766C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100FB74D" w14:textId="51CB75E2" w:rsidR="003766C9" w:rsidRPr="0005547B" w:rsidRDefault="0005547B" w:rsidP="003766C9">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Required Basic System</w:t>
      </w:r>
    </w:p>
    <w:p w14:paraId="45F7C08A" w14:textId="77777777" w:rsidR="003766C9" w:rsidRPr="0005547B" w:rsidRDefault="003766C9" w:rsidP="003766C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392C9680" w14:textId="1D059533" w:rsidR="0005547B" w:rsidRDefault="0005547B" w:rsidP="0005547B">
      <w:pPr>
        <w:pStyle w:val="StandardWeb"/>
        <w:spacing w:before="0" w:beforeAutospacing="0" w:after="0" w:afterAutospacing="0"/>
        <w:rPr>
          <w:rFonts w:ascii="Open Sans" w:hAnsi="Open Sans" w:cs="Open Sans Light"/>
          <w:b/>
          <w:bCs/>
          <w:sz w:val="20"/>
          <w:szCs w:val="20"/>
        </w:rPr>
      </w:pPr>
      <w:r>
        <w:rPr>
          <w:rFonts w:ascii="Open Sans" w:hAnsi="Open Sans" w:cs="Open Sans Light"/>
          <w:b/>
          <w:bCs/>
          <w:sz w:val="20"/>
          <w:szCs w:val="20"/>
        </w:rPr>
        <w:t>Wood Construction</w:t>
      </w:r>
    </w:p>
    <w:p w14:paraId="506023D2" w14:textId="01872895" w:rsidR="0005547B" w:rsidRPr="0005547B" w:rsidRDefault="0005547B" w:rsidP="0005547B">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sz w:val="20"/>
          <w:szCs w:val="20"/>
        </w:rPr>
        <w:t>The wood construction is to be executed according to the requirements of DIN 68121. The sashes must be provided with milled glazing bead, fixed glazing with screwed glazing bead. The system must allow invisibly screwed fixed glazing beads.</w:t>
      </w:r>
    </w:p>
    <w:p w14:paraId="0B1883C0" w14:textId="134B0529" w:rsidR="003766C9"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Design of fixed glazing</w:t>
      </w:r>
      <w:r w:rsidR="003766C9" w:rsidRPr="0005547B">
        <w:rPr>
          <w:rFonts w:ascii="Open Sans" w:hAnsi="Open Sans" w:cs="Open Sans Light"/>
          <w:sz w:val="20"/>
          <w:szCs w:val="20"/>
        </w:rPr>
        <w:t>:</w:t>
      </w:r>
    </w:p>
    <w:p w14:paraId="46830570" w14:textId="77777777" w:rsidR="003766C9" w:rsidRPr="0005547B" w:rsidRDefault="003766C9" w:rsidP="003766C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7276327C"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Optional:</w:t>
      </w:r>
    </w:p>
    <w:p w14:paraId="3B7BBCB4"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Visibly screwed glazing bead</w:t>
      </w:r>
    </w:p>
    <w:p w14:paraId="4CE5BAD9" w14:textId="77777777" w:rsid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Glazing bead invisibly screwed</w:t>
      </w:r>
    </w:p>
    <w:p w14:paraId="46A2BEEA" w14:textId="3198C5B7" w:rsidR="003766C9" w:rsidRPr="0005547B" w:rsidRDefault="003766C9"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57E143D2"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insulating glass edge seal is accommodated on two sides in the wooden rebate.</w:t>
      </w:r>
    </w:p>
    <w:p w14:paraId="469F9DAE" w14:textId="77777777" w:rsid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Grooves in the wooden profiles to take up the aluminium profiles are not permitted.</w:t>
      </w:r>
    </w:p>
    <w:p w14:paraId="42E12350" w14:textId="58C63301" w:rsidR="003766C9" w:rsidRPr="0005547B" w:rsidRDefault="003766C9"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503E23A3" w14:textId="77777777" w:rsidR="00136E14" w:rsidRDefault="0005547B" w:rsidP="00136E14">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Aluminium Frame</w:t>
      </w:r>
    </w:p>
    <w:p w14:paraId="682B6F03" w14:textId="1B8281AE" w:rsidR="00136E14" w:rsidRPr="00136E14" w:rsidRDefault="00136E14" w:rsidP="00136E14">
      <w:pPr>
        <w:pStyle w:val="StandardWeb"/>
        <w:spacing w:before="0" w:beforeAutospacing="0" w:after="0" w:afterAutospacing="0"/>
        <w:rPr>
          <w:rFonts w:ascii="Open Sans" w:hAnsi="Open Sans" w:cs="Open Sans Light"/>
          <w:b/>
          <w:bCs/>
          <w:sz w:val="20"/>
          <w:szCs w:val="20"/>
        </w:rPr>
      </w:pPr>
      <w:r w:rsidRPr="00136E14">
        <w:rPr>
          <w:rFonts w:ascii="Open Sans" w:hAnsi="Open Sans" w:cs="Open Sans Light"/>
          <w:sz w:val="20"/>
          <w:szCs w:val="20"/>
        </w:rPr>
        <w:t xml:space="preserve">A flush system with integrated, concealed sash is to be offered. The </w:t>
      </w:r>
      <w:r>
        <w:rPr>
          <w:rFonts w:ascii="Open Sans" w:hAnsi="Open Sans" w:cs="Open Sans Light"/>
          <w:sz w:val="20"/>
          <w:szCs w:val="20"/>
        </w:rPr>
        <w:t>elevation</w:t>
      </w:r>
      <w:r w:rsidRPr="00136E14">
        <w:rPr>
          <w:rFonts w:ascii="Open Sans" w:hAnsi="Open Sans" w:cs="Open Sans Light"/>
          <w:sz w:val="20"/>
          <w:szCs w:val="20"/>
        </w:rPr>
        <w:t xml:space="preserve"> of the frame is 88 mm at the main contour, the visible aluminium overlap is only 10 mm thick.</w:t>
      </w:r>
      <w:r>
        <w:rPr>
          <w:rFonts w:ascii="Open Sans" w:hAnsi="Open Sans" w:cs="Open Sans Light"/>
          <w:b/>
          <w:bCs/>
          <w:sz w:val="20"/>
          <w:szCs w:val="20"/>
        </w:rPr>
        <w:t xml:space="preserve"> </w:t>
      </w:r>
      <w:r w:rsidRPr="00136E14">
        <w:rPr>
          <w:rFonts w:ascii="Open Sans" w:hAnsi="Open Sans" w:cs="Open Sans Light"/>
          <w:sz w:val="20"/>
          <w:szCs w:val="20"/>
        </w:rPr>
        <w:t>Drainage of the rebate area takes place through concealed punching in the lower profile crosspiece. As an option, visible drainage must be possible with an aluminium cover cap in the colour of the aluminium frame.</w:t>
      </w:r>
      <w:r>
        <w:rPr>
          <w:rFonts w:ascii="Open Sans" w:hAnsi="Open Sans" w:cs="Open Sans Light"/>
          <w:b/>
          <w:bCs/>
          <w:sz w:val="20"/>
          <w:szCs w:val="20"/>
        </w:rPr>
        <w:t xml:space="preserve"> </w:t>
      </w:r>
      <w:r w:rsidRPr="00136E14">
        <w:rPr>
          <w:rFonts w:ascii="Open Sans" w:hAnsi="Open Sans" w:cs="Open Sans Light"/>
          <w:sz w:val="20"/>
          <w:szCs w:val="20"/>
        </w:rPr>
        <w:t xml:space="preserve">The sash glazing is to be executed with an externally arranged glazing bead which surrounds the glass all around. Systems </w:t>
      </w:r>
      <w:r>
        <w:rPr>
          <w:rFonts w:ascii="Open Sans" w:hAnsi="Open Sans" w:cs="Open Sans Light"/>
          <w:sz w:val="20"/>
          <w:szCs w:val="20"/>
        </w:rPr>
        <w:t>which solely</w:t>
      </w:r>
      <w:r w:rsidRPr="00136E14">
        <w:rPr>
          <w:rFonts w:ascii="Open Sans" w:hAnsi="Open Sans" w:cs="Open Sans Light"/>
          <w:sz w:val="20"/>
          <w:szCs w:val="20"/>
        </w:rPr>
        <w:t xml:space="preserve"> </w:t>
      </w:r>
      <w:r>
        <w:rPr>
          <w:rFonts w:ascii="Open Sans" w:hAnsi="Open Sans" w:cs="Open Sans Light"/>
          <w:sz w:val="20"/>
          <w:szCs w:val="20"/>
        </w:rPr>
        <w:t>use gaskets</w:t>
      </w:r>
      <w:r w:rsidRPr="00136E14">
        <w:rPr>
          <w:rFonts w:ascii="Open Sans" w:hAnsi="Open Sans" w:cs="Open Sans Light"/>
          <w:sz w:val="20"/>
          <w:szCs w:val="20"/>
        </w:rPr>
        <w:t xml:space="preserve"> as outer glass enclosure are not permitted.</w:t>
      </w:r>
    </w:p>
    <w:p w14:paraId="752A4892" w14:textId="77777777" w:rsidR="00136E14" w:rsidRDefault="00136E14" w:rsidP="00136E14">
      <w:pPr>
        <w:pStyle w:val="StandardWeb"/>
        <w:spacing w:after="0"/>
        <w:rPr>
          <w:rFonts w:ascii="Open Sans" w:hAnsi="Open Sans" w:cs="Open Sans Light"/>
          <w:sz w:val="20"/>
          <w:szCs w:val="20"/>
        </w:rPr>
      </w:pPr>
    </w:p>
    <w:p w14:paraId="11CFFDDB" w14:textId="77777777" w:rsidR="00136E14" w:rsidRDefault="00136E14" w:rsidP="00136E14">
      <w:pPr>
        <w:pStyle w:val="StandardWeb"/>
        <w:spacing w:after="0"/>
        <w:rPr>
          <w:rFonts w:ascii="Open Sans" w:hAnsi="Open Sans" w:cs="Open Sans Light"/>
          <w:sz w:val="20"/>
          <w:szCs w:val="20"/>
        </w:rPr>
      </w:pPr>
    </w:p>
    <w:p w14:paraId="757917A2" w14:textId="722F0B43" w:rsidR="0005547B" w:rsidRDefault="00136E14" w:rsidP="00136E14">
      <w:pPr>
        <w:pStyle w:val="StandardWeb"/>
        <w:spacing w:after="0"/>
        <w:rPr>
          <w:rFonts w:ascii="Open Sans" w:hAnsi="Open Sans" w:cs="Open Sans Light"/>
          <w:sz w:val="20"/>
          <w:szCs w:val="20"/>
        </w:rPr>
      </w:pPr>
      <w:r w:rsidRPr="00136E14">
        <w:rPr>
          <w:rFonts w:ascii="Open Sans" w:hAnsi="Open Sans" w:cs="Open Sans Light"/>
          <w:sz w:val="20"/>
          <w:szCs w:val="20"/>
        </w:rPr>
        <w:t xml:space="preserve">It must be possible to design the aluminium frame with either mechanical or welded </w:t>
      </w:r>
      <w:r>
        <w:rPr>
          <w:rFonts w:ascii="Open Sans" w:hAnsi="Open Sans" w:cs="Open Sans Light"/>
          <w:sz w:val="20"/>
          <w:szCs w:val="20"/>
        </w:rPr>
        <w:t xml:space="preserve">corner </w:t>
      </w:r>
      <w:r w:rsidRPr="00136E14">
        <w:rPr>
          <w:rFonts w:ascii="Open Sans" w:hAnsi="Open Sans" w:cs="Open Sans Light"/>
          <w:sz w:val="20"/>
          <w:szCs w:val="20"/>
        </w:rPr>
        <w:t>joints.</w:t>
      </w:r>
    </w:p>
    <w:p w14:paraId="4172723B" w14:textId="5507FDB4" w:rsidR="0005547B" w:rsidRPr="0005547B" w:rsidRDefault="0005547B" w:rsidP="0005547B">
      <w:pPr>
        <w:pStyle w:val="StandardWeb"/>
        <w:spacing w:after="0"/>
        <w:rPr>
          <w:rFonts w:ascii="Open Sans" w:hAnsi="Open Sans" w:cs="Open Sans Light"/>
          <w:sz w:val="20"/>
          <w:szCs w:val="20"/>
        </w:rPr>
      </w:pPr>
      <w:r w:rsidRPr="0005547B">
        <w:rPr>
          <w:rFonts w:ascii="Open Sans" w:hAnsi="Open Sans" w:cs="Open Sans Light"/>
          <w:sz w:val="20"/>
          <w:szCs w:val="20"/>
        </w:rPr>
        <w:t xml:space="preserve">The following design is intended: </w:t>
      </w:r>
    </w:p>
    <w:p w14:paraId="5E952011"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Optional:</w:t>
      </w:r>
    </w:p>
    <w:p w14:paraId="19FC15D4"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Mechanical connection (punched)</w:t>
      </w:r>
    </w:p>
    <w:p w14:paraId="51067FA7" w14:textId="3C813F3A" w:rsidR="003766C9"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Welded connection</w:t>
      </w:r>
      <w:r w:rsidR="003766C9" w:rsidRPr="0005547B">
        <w:rPr>
          <w:rFonts w:ascii="Open Sans" w:hAnsi="Open Sans" w:cs="Open Sans Light"/>
          <w:sz w:val="20"/>
          <w:szCs w:val="20"/>
        </w:rPr>
        <w:t> </w:t>
      </w:r>
    </w:p>
    <w:p w14:paraId="45636E82"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p>
    <w:p w14:paraId="015C0FF3" w14:textId="23D1FDE2" w:rsidR="003766C9" w:rsidRPr="0005547B" w:rsidRDefault="0005547B" w:rsidP="003766C9">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Fixing of the Aluminium Frame</w:t>
      </w:r>
    </w:p>
    <w:p w14:paraId="7F50F1CB" w14:textId="46625035" w:rsidR="003766C9" w:rsidRDefault="0005547B" w:rsidP="003766C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aluminium frame is attached to the wooden frame using removable turn and turn clip holders made of high-quality, temperature-resistant plastics such as impact-resistant modified POM. Turn holders are always used for the sash. Stress-free expansion of the aluminium cladding towards the wooden part and full rear ventilation of the gap between the wooden and aluminium frame must be ensured. The gap must therefore be at least 4 mm. For exact dimensional positioning, the holders must be prepared with cast-in spacer nubs.</w:t>
      </w:r>
      <w:r w:rsidR="003766C9" w:rsidRPr="0005547B">
        <w:rPr>
          <w:rFonts w:ascii="Open Sans" w:hAnsi="Open Sans" w:cs="Open Sans Light"/>
          <w:sz w:val="20"/>
          <w:szCs w:val="20"/>
        </w:rPr>
        <w:t> </w:t>
      </w:r>
    </w:p>
    <w:p w14:paraId="44ABCAAF" w14:textId="77777777" w:rsidR="0005547B" w:rsidRPr="0005547B" w:rsidRDefault="0005547B" w:rsidP="003766C9">
      <w:pPr>
        <w:pStyle w:val="StandardWeb"/>
        <w:spacing w:before="0" w:beforeAutospacing="0" w:after="0" w:afterAutospacing="0"/>
        <w:rPr>
          <w:rFonts w:ascii="Open Sans" w:hAnsi="Open Sans" w:cs="Open Sans Light"/>
          <w:sz w:val="20"/>
          <w:szCs w:val="20"/>
        </w:rPr>
      </w:pPr>
    </w:p>
    <w:p w14:paraId="2E770772" w14:textId="77777777" w:rsidR="00C75CDF" w:rsidRDefault="0005547B" w:rsidP="00C75CDF">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Gaskets</w:t>
      </w:r>
    </w:p>
    <w:p w14:paraId="1BBBBADE" w14:textId="4848DDEF" w:rsidR="0005547B" w:rsidRPr="00C75CDF" w:rsidRDefault="0005547B" w:rsidP="00C75CDF">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sz w:val="20"/>
          <w:szCs w:val="20"/>
        </w:rPr>
        <w:t>A circumferential, corner vulcanisable APTK seal made of APTK must be installed on the frame between the wooden frame and the wooden sash. In case of heavy exposure to driving rain, an optional cross seal must be fitted between the aluminium frame and aluminium sash at the bottom.</w:t>
      </w:r>
      <w:r>
        <w:rPr>
          <w:rFonts w:ascii="Open Sans" w:hAnsi="Open Sans" w:cs="Open Sans Light"/>
          <w:sz w:val="20"/>
          <w:szCs w:val="20"/>
        </w:rPr>
        <w:t xml:space="preserve"> </w:t>
      </w:r>
      <w:r w:rsidRPr="0005547B">
        <w:rPr>
          <w:rFonts w:ascii="Open Sans" w:hAnsi="Open Sans" w:cs="Open Sans Light"/>
          <w:sz w:val="20"/>
          <w:szCs w:val="20"/>
        </w:rPr>
        <w:t xml:space="preserve">On the outside, it must be possible to install a circumferential APTK dry glazing seal. The sealing lip on the glass must not be visible wider than 5 mm. Wedge seals as external glazing gaskets are not permitted. On the inside, it must be possible to provide dry glazing with APTK seals in gradual seal thicknesses. It must be possible to design the system as wet glazing on both the outside and inside. </w:t>
      </w:r>
    </w:p>
    <w:p w14:paraId="6615BBD3" w14:textId="77777777" w:rsidR="0005547B" w:rsidRDefault="0005547B" w:rsidP="0005547B">
      <w:pPr>
        <w:pStyle w:val="StandardWeb"/>
        <w:spacing w:before="0" w:beforeAutospacing="0" w:after="0" w:afterAutospacing="0"/>
        <w:rPr>
          <w:rFonts w:ascii="Open Sans" w:hAnsi="Open Sans" w:cs="Open Sans Light"/>
          <w:sz w:val="20"/>
          <w:szCs w:val="20"/>
        </w:rPr>
      </w:pPr>
      <w:bookmarkStart w:id="0" w:name="_Hlk57896634"/>
      <w:r w:rsidRPr="0005547B">
        <w:rPr>
          <w:rFonts w:ascii="Open Sans" w:hAnsi="Open Sans" w:cs="Open Sans Light"/>
          <w:sz w:val="20"/>
          <w:szCs w:val="20"/>
        </w:rPr>
        <w:t>The following design is planned:</w:t>
      </w:r>
    </w:p>
    <w:p w14:paraId="142E7DC9" w14:textId="76D50B0C" w:rsidR="003766C9" w:rsidRPr="0005547B" w:rsidRDefault="003766C9"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bookmarkEnd w:id="0"/>
    <w:p w14:paraId="51A14CC3" w14:textId="77777777" w:rsidR="00093351" w:rsidRDefault="00093351" w:rsidP="00093351">
      <w:pPr>
        <w:pStyle w:val="StandardWeb"/>
        <w:spacing w:before="0" w:beforeAutospacing="0" w:after="0" w:afterAutospacing="0"/>
        <w:rPr>
          <w:rFonts w:ascii="Open Sans" w:hAnsi="Open Sans" w:cs="Open Sans Light"/>
          <w:sz w:val="20"/>
          <w:szCs w:val="20"/>
        </w:rPr>
      </w:pPr>
      <w:r>
        <w:rPr>
          <w:rFonts w:ascii="Open Sans" w:hAnsi="Open Sans" w:cs="Open Sans Light"/>
          <w:sz w:val="20"/>
          <w:szCs w:val="20"/>
        </w:rPr>
        <w:t>Outside</w:t>
      </w:r>
    </w:p>
    <w:p w14:paraId="340AC04A" w14:textId="77777777" w:rsidR="00093351" w:rsidRDefault="00093351" w:rsidP="00093351">
      <w:pPr>
        <w:pStyle w:val="StandardWeb"/>
        <w:spacing w:before="0" w:beforeAutospacing="0" w:after="0" w:afterAutospacing="0"/>
        <w:rPr>
          <w:rFonts w:ascii="Open Sans" w:hAnsi="Open Sans" w:cs="Open Sans Light"/>
          <w:sz w:val="20"/>
          <w:szCs w:val="20"/>
        </w:rPr>
      </w:pPr>
      <w:r>
        <w:rPr>
          <w:rFonts w:ascii="Open Sans" w:hAnsi="Open Sans" w:cs="Open Sans Light"/>
          <w:sz w:val="20"/>
          <w:szCs w:val="20"/>
        </w:rPr>
        <w:t>Wet glazing</w:t>
      </w:r>
    </w:p>
    <w:p w14:paraId="1B7F9C7E" w14:textId="77777777" w:rsidR="00093351" w:rsidRDefault="00093351" w:rsidP="00093351">
      <w:pPr>
        <w:pStyle w:val="StandardWeb"/>
        <w:spacing w:before="0" w:beforeAutospacing="0" w:after="0" w:afterAutospacing="0"/>
        <w:rPr>
          <w:rFonts w:ascii="Open Sans" w:hAnsi="Open Sans" w:cs="Open Sans Light"/>
          <w:sz w:val="20"/>
          <w:szCs w:val="20"/>
        </w:rPr>
      </w:pPr>
    </w:p>
    <w:p w14:paraId="09A35DCD" w14:textId="77777777" w:rsidR="00093351" w:rsidRDefault="00093351" w:rsidP="00093351">
      <w:pPr>
        <w:pStyle w:val="StandardWeb"/>
        <w:spacing w:before="0" w:beforeAutospacing="0" w:after="0" w:afterAutospacing="0"/>
        <w:rPr>
          <w:rFonts w:ascii="Open Sans" w:hAnsi="Open Sans" w:cs="Open Sans Light"/>
          <w:sz w:val="20"/>
          <w:szCs w:val="20"/>
        </w:rPr>
      </w:pPr>
      <w:r>
        <w:rPr>
          <w:rFonts w:ascii="Open Sans" w:hAnsi="Open Sans" w:cs="Open Sans Light"/>
          <w:sz w:val="20"/>
          <w:szCs w:val="20"/>
        </w:rPr>
        <w:t>Inside</w:t>
      </w:r>
    </w:p>
    <w:p w14:paraId="5B5234A6" w14:textId="77777777" w:rsidR="00093351" w:rsidRDefault="00093351" w:rsidP="00093351">
      <w:pPr>
        <w:pStyle w:val="StandardWeb"/>
        <w:spacing w:before="0" w:beforeAutospacing="0" w:after="0" w:afterAutospacing="0"/>
        <w:rPr>
          <w:rFonts w:ascii="Open Sans" w:hAnsi="Open Sans" w:cs="Open Sans Light"/>
          <w:color w:val="000000"/>
          <w:sz w:val="20"/>
          <w:szCs w:val="20"/>
        </w:rPr>
      </w:pPr>
      <w:r>
        <w:rPr>
          <w:rFonts w:ascii="Open Sans" w:hAnsi="Open Sans" w:cs="Open Sans Light"/>
          <w:sz w:val="20"/>
          <w:szCs w:val="20"/>
        </w:rPr>
        <w:t>Dry Glazing</w:t>
      </w:r>
    </w:p>
    <w:p w14:paraId="16EA43F2" w14:textId="77777777" w:rsidR="0005547B" w:rsidRPr="004B1DE9" w:rsidRDefault="0005547B" w:rsidP="0005547B">
      <w:pPr>
        <w:pStyle w:val="StandardWeb"/>
        <w:spacing w:before="0" w:beforeAutospacing="0" w:after="0" w:afterAutospacing="0"/>
        <w:rPr>
          <w:rFonts w:ascii="Open Sans" w:hAnsi="Open Sans" w:cs="Open Sans Light"/>
          <w:sz w:val="20"/>
          <w:szCs w:val="20"/>
          <w:lang w:val="de-DE"/>
        </w:rPr>
      </w:pPr>
    </w:p>
    <w:p w14:paraId="06DBD4B6" w14:textId="77777777" w:rsidR="0005547B" w:rsidRPr="0005547B" w:rsidRDefault="0005547B" w:rsidP="0005547B">
      <w:pPr>
        <w:rPr>
          <w:rFonts w:ascii="Open Sans" w:eastAsia="Times New Roman" w:hAnsi="Open Sans" w:cs="Open Sans Light"/>
          <w:sz w:val="20"/>
          <w:szCs w:val="20"/>
          <w:lang w:eastAsia="en-GB"/>
        </w:rPr>
      </w:pPr>
      <w:r w:rsidRPr="0005547B">
        <w:rPr>
          <w:rFonts w:ascii="Open Sans" w:eastAsia="Times New Roman" w:hAnsi="Open Sans" w:cs="Open Sans Light"/>
          <w:sz w:val="20"/>
          <w:szCs w:val="20"/>
          <w:lang w:eastAsia="en-GB"/>
        </w:rPr>
        <w:t>Excluded are wooden windows with metal cover and rain rail, as well as constructions which are clad with wooden profiles on the room side.</w:t>
      </w:r>
    </w:p>
    <w:p w14:paraId="215D30A1" w14:textId="3A7BEE4F" w:rsidR="003766C9" w:rsidRPr="0005547B" w:rsidRDefault="0005547B" w:rsidP="0005547B">
      <w:pPr>
        <w:rPr>
          <w:rFonts w:ascii="Open Sans" w:hAnsi="Open Sans" w:cs="Open Sans Light"/>
        </w:rPr>
      </w:pPr>
      <w:r w:rsidRPr="0005547B">
        <w:rPr>
          <w:rFonts w:ascii="Open Sans" w:eastAsia="Times New Roman" w:hAnsi="Open Sans" w:cs="Open Sans Light"/>
          <w:sz w:val="20"/>
          <w:szCs w:val="20"/>
          <w:lang w:eastAsia="en-GB"/>
        </w:rPr>
        <w:t>For reasons of recycling, foamed profile systems are not permitted.</w:t>
      </w:r>
    </w:p>
    <w:p w14:paraId="09E25EB6" w14:textId="275E929F" w:rsidR="003766C9" w:rsidRPr="0005547B" w:rsidRDefault="0005547B" w:rsidP="003766C9">
      <w:pPr>
        <w:rPr>
          <w:rFonts w:ascii="Open Sans" w:hAnsi="Open Sans" w:cs="Open Sans Light"/>
          <w:b/>
          <w:bCs/>
          <w:sz w:val="20"/>
          <w:szCs w:val="20"/>
        </w:rPr>
      </w:pPr>
      <w:bookmarkStart w:id="1" w:name="_Hlk57967617"/>
      <w:r w:rsidRPr="0005547B">
        <w:rPr>
          <w:rFonts w:ascii="Open Sans" w:hAnsi="Open Sans" w:cs="Open Sans Light"/>
          <w:b/>
          <w:bCs/>
          <w:sz w:val="20"/>
          <w:szCs w:val="20"/>
        </w:rPr>
        <w:t>Glazing</w:t>
      </w:r>
    </w:p>
    <w:p w14:paraId="21C9ACD3" w14:textId="77777777" w:rsidR="0005547B" w:rsidRDefault="0005547B" w:rsidP="0005547B">
      <w:pPr>
        <w:pStyle w:val="StandardWeb"/>
        <w:spacing w:before="0" w:beforeAutospacing="0" w:after="0" w:afterAutospacing="0"/>
        <w:jc w:val="both"/>
        <w:rPr>
          <w:rFonts w:ascii="Open Sans" w:hAnsi="Open Sans" w:cs="Open Sans"/>
          <w:b/>
          <w:bCs/>
          <w:sz w:val="20"/>
          <w:szCs w:val="20"/>
        </w:rPr>
      </w:pPr>
      <w:r w:rsidRPr="0005547B">
        <w:rPr>
          <w:rFonts w:ascii="Open Sans" w:hAnsi="Open Sans" w:cs="Open Sans"/>
          <w:b/>
          <w:bCs/>
          <w:sz w:val="20"/>
          <w:szCs w:val="20"/>
        </w:rPr>
        <w:t>Technical data</w:t>
      </w:r>
    </w:p>
    <w:p w14:paraId="4A2E64F8" w14:textId="742DF2D4" w:rsidR="0005547B" w:rsidRPr="0005547B" w:rsidRDefault="0005547B" w:rsidP="0005547B">
      <w:pPr>
        <w:pStyle w:val="StandardWeb"/>
        <w:spacing w:before="0" w:beforeAutospacing="0" w:after="0" w:afterAutospacing="0"/>
        <w:jc w:val="both"/>
        <w:rPr>
          <w:rFonts w:ascii="Open Sans" w:hAnsi="Open Sans" w:cs="Open Sans"/>
          <w:b/>
          <w:bCs/>
          <w:sz w:val="20"/>
          <w:szCs w:val="20"/>
        </w:rPr>
      </w:pPr>
      <w:r w:rsidRPr="0005547B">
        <w:rPr>
          <w:rFonts w:ascii="Open Sans" w:hAnsi="Open Sans" w:cs="Open Sans"/>
          <w:sz w:val="20"/>
          <w:szCs w:val="20"/>
        </w:rPr>
        <w:t>Light transmission TL: ____ (%)</w:t>
      </w:r>
    </w:p>
    <w:p w14:paraId="70E447E5" w14:textId="77777777" w:rsidR="0005547B" w:rsidRPr="0005547B" w:rsidRDefault="0005547B" w:rsidP="0005547B">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Total energy permeability g: ____ (%)</w:t>
      </w:r>
    </w:p>
    <w:p w14:paraId="00A7192D" w14:textId="77777777" w:rsidR="0005547B" w:rsidRPr="0005547B" w:rsidRDefault="0005547B" w:rsidP="0005547B">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Light reflection outside RLa: ____ (%)</w:t>
      </w:r>
    </w:p>
    <w:p w14:paraId="257D85ED" w14:textId="77777777" w:rsidR="0005547B" w:rsidRPr="0005547B" w:rsidRDefault="0005547B" w:rsidP="0005547B">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U-value Ug: ______ (W/m²K)</w:t>
      </w:r>
    </w:p>
    <w:p w14:paraId="5B879FE0" w14:textId="77777777" w:rsidR="0005547B" w:rsidRPr="0005547B" w:rsidRDefault="0005547B" w:rsidP="0005547B">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Sound insulation Rw: ____ (dB)</w:t>
      </w:r>
    </w:p>
    <w:p w14:paraId="7D0D445A" w14:textId="77777777" w:rsidR="0005547B" w:rsidRPr="0005547B" w:rsidRDefault="0005547B" w:rsidP="0005547B">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 xml:space="preserve">Light and energy values according to DIN EN 410. </w:t>
      </w:r>
    </w:p>
    <w:p w14:paraId="765A8B96" w14:textId="77777777" w:rsidR="00572DFB" w:rsidRDefault="00572DFB" w:rsidP="0005547B">
      <w:pPr>
        <w:pStyle w:val="StandardWeb"/>
        <w:spacing w:before="0" w:beforeAutospacing="0" w:after="0" w:afterAutospacing="0"/>
        <w:jc w:val="both"/>
        <w:rPr>
          <w:rFonts w:ascii="Open Sans" w:hAnsi="Open Sans" w:cs="Open Sans"/>
          <w:sz w:val="20"/>
          <w:szCs w:val="20"/>
        </w:rPr>
      </w:pPr>
    </w:p>
    <w:p w14:paraId="323F5D0E" w14:textId="77777777" w:rsidR="00572DFB" w:rsidRDefault="00572DFB" w:rsidP="0005547B">
      <w:pPr>
        <w:pStyle w:val="StandardWeb"/>
        <w:spacing w:before="0" w:beforeAutospacing="0" w:after="0" w:afterAutospacing="0"/>
        <w:jc w:val="both"/>
        <w:rPr>
          <w:rFonts w:ascii="Open Sans" w:hAnsi="Open Sans" w:cs="Open Sans"/>
          <w:sz w:val="20"/>
          <w:szCs w:val="20"/>
        </w:rPr>
      </w:pPr>
    </w:p>
    <w:p w14:paraId="09F80EB9" w14:textId="0AA9E192" w:rsidR="003766C9" w:rsidRPr="0005547B" w:rsidRDefault="0005547B" w:rsidP="0005547B">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lastRenderedPageBreak/>
        <w:t>The Ug-value indicated was calculated according to DIN EN 673.</w:t>
      </w:r>
    </w:p>
    <w:p w14:paraId="67A5B74B" w14:textId="77777777" w:rsidR="003766C9" w:rsidRPr="0005547B" w:rsidRDefault="003766C9" w:rsidP="003766C9">
      <w:pPr>
        <w:spacing w:after="0" w:line="240" w:lineRule="auto"/>
        <w:jc w:val="both"/>
        <w:rPr>
          <w:rFonts w:ascii="Open Sans" w:eastAsia="Times New Roman" w:hAnsi="Open Sans" w:cs="Open Sans"/>
          <w:b/>
          <w:bCs/>
          <w:sz w:val="20"/>
          <w:szCs w:val="20"/>
          <w:lang w:eastAsia="en-GB"/>
        </w:rPr>
      </w:pPr>
    </w:p>
    <w:p w14:paraId="73ED799A" w14:textId="7CF705E8" w:rsidR="0005547B" w:rsidRPr="0005547B" w:rsidRDefault="0005547B" w:rsidP="003766C9">
      <w:pPr>
        <w:spacing w:after="0" w:line="240" w:lineRule="auto"/>
        <w:jc w:val="both"/>
        <w:rPr>
          <w:rFonts w:ascii="Open Sans" w:eastAsia="Times New Roman" w:hAnsi="Open Sans" w:cs="Open Sans"/>
          <w:sz w:val="20"/>
          <w:szCs w:val="20"/>
          <w:lang w:eastAsia="en-GB"/>
        </w:rPr>
      </w:pPr>
      <w:r w:rsidRPr="0005547B">
        <w:rPr>
          <w:rFonts w:ascii="Open Sans" w:eastAsia="Times New Roman" w:hAnsi="Open Sans" w:cs="Open Sans"/>
          <w:b/>
          <w:bCs/>
          <w:sz w:val="20"/>
          <w:szCs w:val="20"/>
          <w:lang w:eastAsia="en-GB"/>
        </w:rPr>
        <w:t>Thermal insulation of elements (Uw) according to ENEV:</w:t>
      </w:r>
      <w:r w:rsidRPr="0005547B">
        <w:rPr>
          <w:rFonts w:ascii="Open Sans" w:eastAsia="Times New Roman" w:hAnsi="Open Sans" w:cs="Open Sans"/>
          <w:sz w:val="20"/>
          <w:szCs w:val="20"/>
          <w:lang w:eastAsia="en-GB"/>
        </w:rPr>
        <w:t xml:space="preserve"> Regulation on energy-saving thermal insulation and energy-saving systems engineering in buildings.</w:t>
      </w:r>
    </w:p>
    <w:p w14:paraId="6105A499" w14:textId="4BA42A09" w:rsidR="003766C9" w:rsidRPr="0005547B" w:rsidRDefault="003766C9" w:rsidP="003766C9">
      <w:pPr>
        <w:spacing w:after="0" w:line="240" w:lineRule="auto"/>
        <w:jc w:val="both"/>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 </w:t>
      </w:r>
    </w:p>
    <w:p w14:paraId="02B8FC5E" w14:textId="77777777" w:rsidR="0005547B" w:rsidRPr="0005547B" w:rsidRDefault="0005547B" w:rsidP="0005547B">
      <w:pPr>
        <w:spacing w:after="0"/>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Heat transfer coefficient of the window element</w:t>
      </w:r>
    </w:p>
    <w:p w14:paraId="0DB64F1C" w14:textId="77777777" w:rsidR="0005547B" w:rsidRPr="0005547B" w:rsidRDefault="0005547B" w:rsidP="0005547B">
      <w:pPr>
        <w:spacing w:after="0"/>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Uw = W/m²K</w:t>
      </w:r>
    </w:p>
    <w:p w14:paraId="2605980D" w14:textId="77777777" w:rsidR="0005547B" w:rsidRPr="0005547B" w:rsidRDefault="0005547B" w:rsidP="0005547B">
      <w:pPr>
        <w:spacing w:after="0"/>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Heat transfer coefficient of the façade element</w:t>
      </w:r>
    </w:p>
    <w:p w14:paraId="3FA70204" w14:textId="77777777" w:rsidR="0005547B" w:rsidRPr="0005547B" w:rsidRDefault="0005547B" w:rsidP="0005547B">
      <w:pPr>
        <w:spacing w:after="0"/>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Ucw = W/m²K</w:t>
      </w:r>
    </w:p>
    <w:p w14:paraId="05051E63" w14:textId="77777777" w:rsidR="0005547B" w:rsidRPr="0005547B" w:rsidRDefault="0005547B" w:rsidP="0005547B">
      <w:pPr>
        <w:spacing w:after="0"/>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Heat transfer coefficient of the door element</w:t>
      </w:r>
    </w:p>
    <w:p w14:paraId="6D994F6D" w14:textId="306B61A8" w:rsidR="00650533" w:rsidRPr="003766C9" w:rsidRDefault="0005547B" w:rsidP="0005547B">
      <w:pPr>
        <w:spacing w:after="0"/>
        <w:rPr>
          <w:lang w:val="de-DE"/>
        </w:rPr>
      </w:pPr>
      <w:r w:rsidRPr="0005547B">
        <w:rPr>
          <w:rFonts w:ascii="Open Sans" w:eastAsia="Times New Roman" w:hAnsi="Open Sans" w:cs="Open Sans"/>
          <w:sz w:val="20"/>
          <w:szCs w:val="20"/>
          <w:lang w:val="de-DE" w:eastAsia="en-GB"/>
        </w:rPr>
        <w:t>Ud = W/m²K</w:t>
      </w:r>
      <w:bookmarkEnd w:id="1"/>
    </w:p>
    <w:sectPr w:rsidR="00650533" w:rsidRPr="003766C9" w:rsidSect="009D15E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31A21" w14:textId="77777777" w:rsidR="00E675D7" w:rsidRDefault="00E675D7" w:rsidP="00650533">
      <w:pPr>
        <w:spacing w:after="0" w:line="240" w:lineRule="auto"/>
      </w:pPr>
      <w:r>
        <w:separator/>
      </w:r>
    </w:p>
  </w:endnote>
  <w:endnote w:type="continuationSeparator" w:id="0">
    <w:p w14:paraId="258AF397" w14:textId="77777777" w:rsidR="00E675D7" w:rsidRDefault="00E675D7" w:rsidP="0065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885147"/>
      <w:docPartObj>
        <w:docPartGallery w:val="Page Numbers (Bottom of Page)"/>
        <w:docPartUnique/>
      </w:docPartObj>
    </w:sdtPr>
    <w:sdtEndPr/>
    <w:sdtContent>
      <w:p w14:paraId="57A92682" w14:textId="6EAD4977" w:rsidR="00650533" w:rsidRDefault="00650533">
        <w:pPr>
          <w:pStyle w:val="Fuzeile"/>
        </w:pPr>
        <w:r w:rsidRPr="00650533">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6C72AC2D" wp14:editId="3AE325C9">
                  <wp:simplePos x="0" y="0"/>
                  <wp:positionH relativeFrom="page">
                    <wp:align>right</wp:align>
                  </wp:positionH>
                  <wp:positionV relativeFrom="page">
                    <wp:align>bottom</wp:align>
                  </wp:positionV>
                  <wp:extent cx="2125980" cy="2054860"/>
                  <wp:effectExtent l="0" t="0" r="7620" b="2540"/>
                  <wp:wrapNone/>
                  <wp:docPr id="3"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gradFill flip="none" rotWithShape="1">
                            <a:gsLst>
                              <a:gs pos="0">
                                <a:srgbClr val="A2C418">
                                  <a:tint val="66000"/>
                                  <a:satMod val="160000"/>
                                </a:srgbClr>
                              </a:gs>
                              <a:gs pos="50000">
                                <a:srgbClr val="A2C418">
                                  <a:tint val="44500"/>
                                  <a:satMod val="160000"/>
                                </a:srgbClr>
                              </a:gs>
                              <a:gs pos="100000">
                                <a:srgbClr val="A2C418">
                                  <a:tint val="23500"/>
                                  <a:satMod val="160000"/>
                                </a:srgbClr>
                              </a:gs>
                            </a:gsLst>
                            <a:lin ang="10800000" scaled="1"/>
                            <a:tileRect/>
                          </a:gradFill>
                          <a:ln>
                            <a:noFill/>
                          </a:ln>
                        </wps:spPr>
                        <wps:txb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2AC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" adj="21600" fillcolor="#cfec8d" stroked="f">
                  <v:fill color2="#eff8de" rotate="t" angle="270" colors="0 #cfec8d;.5 #e0f1bb;1 #eff8de" focus="100%" type="gradient"/>
                  <v:textbo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90595" w14:textId="77777777" w:rsidR="00E675D7" w:rsidRDefault="00E675D7" w:rsidP="00650533">
      <w:pPr>
        <w:spacing w:after="0" w:line="240" w:lineRule="auto"/>
      </w:pPr>
      <w:r>
        <w:separator/>
      </w:r>
    </w:p>
  </w:footnote>
  <w:footnote w:type="continuationSeparator" w:id="0">
    <w:p w14:paraId="70DAD3DE" w14:textId="77777777" w:rsidR="00E675D7" w:rsidRDefault="00E675D7" w:rsidP="00650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A75B" w14:textId="79AD0564" w:rsidR="00650533" w:rsidRDefault="00650533" w:rsidP="00650533">
    <w:pPr>
      <w:pStyle w:val="Kopfzeile"/>
      <w:tabs>
        <w:tab w:val="left" w:pos="1020"/>
      </w:tabs>
    </w:pPr>
    <w:r>
      <w:tab/>
    </w:r>
    <w:r>
      <w:tab/>
    </w:r>
    <w:r>
      <w:tab/>
    </w:r>
    <w:r>
      <w:rPr>
        <w:noProof/>
      </w:rPr>
      <w:drawing>
        <wp:inline distT="0" distB="0" distL="0" distR="0" wp14:anchorId="7F39209D" wp14:editId="606D4CDE">
          <wp:extent cx="1655445" cy="546341"/>
          <wp:effectExtent l="0" t="0" r="1905"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67449" cy="5503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1A"/>
    <w:rsid w:val="0005547B"/>
    <w:rsid w:val="00093351"/>
    <w:rsid w:val="00121A4C"/>
    <w:rsid w:val="00136E14"/>
    <w:rsid w:val="00154221"/>
    <w:rsid w:val="00204304"/>
    <w:rsid w:val="00277F1D"/>
    <w:rsid w:val="003766C9"/>
    <w:rsid w:val="004A074D"/>
    <w:rsid w:val="005525AE"/>
    <w:rsid w:val="00572DFB"/>
    <w:rsid w:val="00650533"/>
    <w:rsid w:val="00775AEB"/>
    <w:rsid w:val="007F2ED9"/>
    <w:rsid w:val="00882ED2"/>
    <w:rsid w:val="008D597C"/>
    <w:rsid w:val="009B101A"/>
    <w:rsid w:val="009D15E5"/>
    <w:rsid w:val="00B92936"/>
    <w:rsid w:val="00C738F9"/>
    <w:rsid w:val="00C75CDF"/>
    <w:rsid w:val="00E006DA"/>
    <w:rsid w:val="00E15EF7"/>
    <w:rsid w:val="00E675D7"/>
    <w:rsid w:val="00F92981"/>
    <w:rsid w:val="00FD549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3FD1E"/>
  <w15:chartTrackingRefBased/>
  <w15:docId w15:val="{CAE1F7BD-1689-44A0-AB5A-F46066A1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6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1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650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533"/>
  </w:style>
  <w:style w:type="paragraph" w:styleId="Fuzeile">
    <w:name w:val="footer"/>
    <w:basedOn w:val="Standard"/>
    <w:link w:val="FuzeileZchn"/>
    <w:uiPriority w:val="99"/>
    <w:unhideWhenUsed/>
    <w:rsid w:val="00650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533"/>
  </w:style>
  <w:style w:type="paragraph" w:customStyle="1" w:styleId="msonormal0">
    <w:name w:val="msonormal"/>
    <w:basedOn w:val="Standard"/>
    <w:rsid w:val="00277F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708091">
      <w:bodyDiv w:val="1"/>
      <w:marLeft w:val="0"/>
      <w:marRight w:val="0"/>
      <w:marTop w:val="0"/>
      <w:marBottom w:val="0"/>
      <w:divBdr>
        <w:top w:val="none" w:sz="0" w:space="0" w:color="auto"/>
        <w:left w:val="none" w:sz="0" w:space="0" w:color="auto"/>
        <w:bottom w:val="none" w:sz="0" w:space="0" w:color="auto"/>
        <w:right w:val="none" w:sz="0" w:space="0" w:color="auto"/>
      </w:divBdr>
    </w:div>
    <w:div w:id="12554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9B4F-E144-4BBD-A821-AA6EB49D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Kositz</dc:creator>
  <cp:keywords/>
  <dc:description/>
  <cp:lastModifiedBy>Katrin Kositz</cp:lastModifiedBy>
  <cp:revision>4</cp:revision>
  <dcterms:created xsi:type="dcterms:W3CDTF">2020-12-03T12:31:00Z</dcterms:created>
  <dcterms:modified xsi:type="dcterms:W3CDTF">2020-12-08T09:33:00Z</dcterms:modified>
</cp:coreProperties>
</file>