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8423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Konstruktionsbeschreibung</w:t>
      </w:r>
    </w:p>
    <w:p w14:paraId="6920EDE8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2F53CA27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Profilserie zum Herstellen von Holz-Alu-Systemen mit Flügel und Rahmen System </w:t>
      </w:r>
      <w:r>
        <w:rPr>
          <w:rFonts w:ascii="Open Sans" w:hAnsi="Open Sans" w:cs="Arial"/>
          <w:sz w:val="20"/>
          <w:szCs w:val="20"/>
          <w:lang w:val="de-DE"/>
        </w:rPr>
        <w:t>AC20 LS.</w:t>
      </w:r>
    </w:p>
    <w:p w14:paraId="3C7F1116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71BF4770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b/>
          <w:bCs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Technische Anforderungen und systemspezifische Nachweise</w:t>
      </w:r>
    </w:p>
    <w:p w14:paraId="52249AB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Aluminium-Profile sind aus EN AW-6060 T66 in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Eloxalqualität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und gemäß DIN EN 755 und DIN EN 12020 anzubieten. Die Ausführung muss nach den einschlägigen Normen und Richtlinien, den anerkannten Regeln der Technik und den Angaben des Systemgebers erfolgen.</w:t>
      </w:r>
    </w:p>
    <w:p w14:paraId="614FF7E1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53E562AE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Prüfwerte sind in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Abwandung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zur den Fenstersystemen einzustufen.</w:t>
      </w:r>
    </w:p>
    <w:p w14:paraId="2207954A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Schlagregendichtheit E1050</w:t>
      </w:r>
    </w:p>
    <w:p w14:paraId="17F6F6D3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Luftdurchlässigkeit Klasse 4</w:t>
      </w:r>
    </w:p>
    <w:p w14:paraId="7867C64E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Bedienkräfte Klasse 1</w:t>
      </w:r>
    </w:p>
    <w:p w14:paraId="402F8D61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Widerstandsfähigkeit Klasse C3</w:t>
      </w:r>
    </w:p>
    <w:p w14:paraId="7B4FA391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3942F001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Wärmedämmung des Rahmens z.B. Fichte, U - Werte nach DIN 10077-2:2003-10,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Uf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= 1,3 bis 2,3 W/m2K je nach Profilgeometrie und Rahmenausführung.</w:t>
      </w:r>
    </w:p>
    <w:p w14:paraId="57FE39CB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Je nach Glasausführung ist ein U</w:t>
      </w:r>
      <w:r w:rsidRPr="00672786">
        <w:rPr>
          <w:rFonts w:ascii="Open Sans" w:hAnsi="Open Sans" w:cs="Arial"/>
          <w:sz w:val="20"/>
          <w:szCs w:val="20"/>
          <w:vertAlign w:val="subscript"/>
          <w:lang w:val="de-DE"/>
        </w:rPr>
        <w:t>D</w:t>
      </w:r>
      <w:r w:rsidRPr="00672786">
        <w:rPr>
          <w:rFonts w:ascii="Open Sans" w:hAnsi="Open Sans" w:cs="Arial"/>
          <w:sz w:val="20"/>
          <w:szCs w:val="20"/>
          <w:lang w:val="de-DE"/>
        </w:rPr>
        <w:t>= 0,9 W/m²K zu erreichen.</w:t>
      </w:r>
    </w:p>
    <w:p w14:paraId="4EFBFC02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33FFBBB5" w14:textId="77777777" w:rsidR="00655913" w:rsidRPr="00655913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55913">
        <w:rPr>
          <w:rFonts w:ascii="Open Sans" w:hAnsi="Open Sans" w:cs="Arial"/>
          <w:b/>
          <w:bCs/>
          <w:sz w:val="20"/>
          <w:szCs w:val="20"/>
          <w:lang w:val="de-DE"/>
        </w:rPr>
        <w:t>Gefordertes Grundsystem</w:t>
      </w:r>
    </w:p>
    <w:p w14:paraId="74D0E691" w14:textId="77777777" w:rsidR="00655913" w:rsidRPr="00655913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55913">
        <w:rPr>
          <w:rFonts w:ascii="Open Sans" w:hAnsi="Open Sans" w:cs="Arial"/>
          <w:sz w:val="20"/>
          <w:szCs w:val="20"/>
          <w:lang w:val="de-DE"/>
        </w:rPr>
        <w:t> </w:t>
      </w:r>
    </w:p>
    <w:p w14:paraId="0D2A4463" w14:textId="77777777" w:rsidR="00655913" w:rsidRPr="00655913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55913">
        <w:rPr>
          <w:rFonts w:ascii="Open Sans" w:hAnsi="Open Sans" w:cs="Arial"/>
          <w:b/>
          <w:bCs/>
          <w:sz w:val="20"/>
          <w:szCs w:val="20"/>
          <w:lang w:val="de-DE"/>
        </w:rPr>
        <w:t>Holzkonstruktion</w:t>
      </w:r>
    </w:p>
    <w:p w14:paraId="298E393F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Holzkonstruktion ist gemäß den Anforderungen der DIN 68121 auszuführen. Die Festverglasungen ist mit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angefräster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Glasleiste vorzusehen. Das System muss eine Verglasung von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aussen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ermöglichen.</w:t>
      </w:r>
    </w:p>
    <w:p w14:paraId="5036F0F7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Der Isolierglas-Randverbund wird zweiseitig im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Holzfalz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aufgenommen.</w:t>
      </w:r>
    </w:p>
    <w:p w14:paraId="66C70DB8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Einnutungen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in die Holzprofile zur Aufnahme der Aluminiumprofile sind unzulässig.</w:t>
      </w:r>
    </w:p>
    <w:p w14:paraId="7D662B73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539DD249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Aluminium-Rahmen</w:t>
      </w:r>
    </w:p>
    <w:p w14:paraId="68992FEE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Es ist ein </w:t>
      </w:r>
      <w:proofErr w:type="gramStart"/>
      <w:r w:rsidRPr="00672786">
        <w:rPr>
          <w:rFonts w:ascii="Open Sans" w:hAnsi="Open Sans" w:cs="Arial"/>
          <w:sz w:val="20"/>
          <w:szCs w:val="20"/>
          <w:lang w:val="de-DE"/>
        </w:rPr>
        <w:t>System vorzusehen</w:t>
      </w:r>
      <w:proofErr w:type="gramEnd"/>
      <w:r w:rsidRPr="00672786">
        <w:rPr>
          <w:rFonts w:ascii="Open Sans" w:hAnsi="Open Sans" w:cs="Arial"/>
          <w:sz w:val="20"/>
          <w:szCs w:val="20"/>
          <w:lang w:val="de-DE"/>
        </w:rPr>
        <w:t xml:space="preserve"> bei dem eine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Steckglasleiste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von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aussen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in der Rahmennut aufgenommen wird. Die Glasleistenbautiefe ist 10 mm.</w:t>
      </w:r>
    </w:p>
    <w:p w14:paraId="57D0AF80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Der Rahmen inkl. Glasleiste ist in der Ansichtsbreite auf die Modulmasse der Standard Rahmen aus der Systemfamilie MIRA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contour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abgestimmt.</w:t>
      </w:r>
    </w:p>
    <w:p w14:paraId="7BE9ACDE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Entwässerung des Falzbereiches erfolgt durch verdeckte Stanzungen im unteren Profilquerstück. Optional muss eine sichtbare Entwässerung mit Aluminium-Abdeckkappe im Farbton des Alurahmens möglich sein. Die Ausführung der Aluminium-Rahmen muss wahlweise mit mechanischer oder verschweißter Verbindung möglich sein. </w:t>
      </w:r>
    </w:p>
    <w:p w14:paraId="4E99CC04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7D348998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638F8BBF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Optional:</w:t>
      </w:r>
    </w:p>
    <w:p w14:paraId="14F0FE39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mechanische Verbindung (</w:t>
      </w:r>
      <w:proofErr w:type="gramStart"/>
      <w:r w:rsidRPr="00672786">
        <w:rPr>
          <w:rFonts w:ascii="Open Sans" w:hAnsi="Open Sans" w:cs="Arial"/>
          <w:sz w:val="20"/>
          <w:szCs w:val="20"/>
          <w:lang w:val="de-DE"/>
        </w:rPr>
        <w:t>verstanzt )</w:t>
      </w:r>
      <w:proofErr w:type="gramEnd"/>
      <w:r w:rsidRPr="00672786">
        <w:rPr>
          <w:rFonts w:ascii="Open Sans" w:hAnsi="Open Sans" w:cs="Arial"/>
          <w:sz w:val="20"/>
          <w:szCs w:val="20"/>
          <w:lang w:val="de-DE"/>
        </w:rPr>
        <w:t xml:space="preserve"> bei Eloxal Oberfläche</w:t>
      </w:r>
    </w:p>
    <w:p w14:paraId="7C55906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geschweißte Verbindung bei Farbbeschichtung.</w:t>
      </w:r>
    </w:p>
    <w:p w14:paraId="79915BAA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58767507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AnsichtsTiefe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der Flügelrahmen werden mittels Systemprofilen inkl.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Klippshalten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verblendet, Ansichtsbreite 145 mm.</w:t>
      </w:r>
    </w:p>
    <w:p w14:paraId="53747984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Die Ausführung ist den Systemunterlagen zu entnehmen.</w:t>
      </w:r>
    </w:p>
    <w:p w14:paraId="36668CFA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173B2C5D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Befestigung des Aluminium-Rahmens</w:t>
      </w:r>
    </w:p>
    <w:p w14:paraId="5421A19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Befestigung des Aluminium-Rahmens auf dem Holzrahmen erfolgt über demontierbare Dreh- und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Drehklipshalter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aus hochwertigen, </w:t>
      </w:r>
    </w:p>
    <w:p w14:paraId="60727BE7" w14:textId="77777777" w:rsidR="00655913" w:rsidRDefault="00655913" w:rsidP="00655913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0F839B72" w14:textId="77777777" w:rsidR="00655913" w:rsidRDefault="00655913" w:rsidP="00655913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</w:p>
    <w:p w14:paraId="2940BB01" w14:textId="23084674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temperaturbeständigen Kunststoffen wie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schlagzäh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modifiziertes POM. Eine spannungsfreie Dehnung der Aluminiumschale zum Holzteil und die vollflächige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Hinterlüftung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des Spaltes zwischen Holz- und Alu-Rahmen muss sichergestellt sein. Der Spalt muss daher mit mindestens 4 mm Abstand ausgeführt werden. Zur genauen Maßpositionsbestimmung müssen die Halter mit eingegossenem Abstandsnoppen vorgerichtet sein. </w:t>
      </w:r>
    </w:p>
    <w:p w14:paraId="3352E217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 </w:t>
      </w:r>
    </w:p>
    <w:p w14:paraId="0DB86633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Bodenschwelle</w:t>
      </w:r>
    </w:p>
    <w:p w14:paraId="76355DD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Thermische Systembodenschwelle Typ MACO Fiber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Therm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>.</w:t>
      </w:r>
    </w:p>
    <w:p w14:paraId="785DB421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Bautiefe und Bauhöhe sind abhängig von dem Hebeschiebe-Schema.</w:t>
      </w:r>
    </w:p>
    <w:p w14:paraId="3DD44AA7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Die Ausführung ist zur Aufnahme der Rollenführung und Arretierung der Festfelder vorgerichtet.</w:t>
      </w:r>
    </w:p>
    <w:p w14:paraId="1440BB77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Es ist eine verdeckte Entwässerung vorzusehen.</w:t>
      </w:r>
    </w:p>
    <w:p w14:paraId="1264930F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Andichtungen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an Rahmen und Einsatzelementen hat nach den Systemvorgaben zu erfolgen.</w:t>
      </w:r>
    </w:p>
    <w:p w14:paraId="376A5D39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0687251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lang w:val="de-DE"/>
        </w:rPr>
        <w:t>Dichtungen</w:t>
      </w:r>
    </w:p>
    <w:p w14:paraId="09A65426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Flügelabdichtung am Rahmen und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Festfeld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erfolgt über </w:t>
      </w:r>
      <w:proofErr w:type="gramStart"/>
      <w:r w:rsidRPr="00672786">
        <w:rPr>
          <w:rFonts w:ascii="Open Sans" w:hAnsi="Open Sans" w:cs="Arial"/>
          <w:sz w:val="20"/>
          <w:szCs w:val="20"/>
          <w:lang w:val="de-DE"/>
        </w:rPr>
        <w:t>Systemdichtungen</w:t>
      </w:r>
      <w:proofErr w:type="gramEnd"/>
      <w:r w:rsidRPr="00672786">
        <w:rPr>
          <w:rFonts w:ascii="Open Sans" w:hAnsi="Open Sans" w:cs="Arial"/>
          <w:sz w:val="20"/>
          <w:szCs w:val="20"/>
          <w:lang w:val="de-DE"/>
        </w:rPr>
        <w:t xml:space="preserve"> die im Verschlussbereich eingesetzt werden.</w:t>
      </w:r>
    </w:p>
    <w:p w14:paraId="4CF6EE26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Die Verglasung muss außenseitig mit einer umlaufenden Trockenverglasungsdichtung erfolgen. Die Dichtlippe am Glas darf nicht breiter als 5 mm sichtbar sein. Innenseitig muss eine Trockenverglasung mit APTK-Dichtungen in abgestuften Dichtungsdicken ausführbar sein. Das System muss außen- wie innenseitig optional als Nassverglasung ausführbar sein. </w:t>
      </w:r>
    </w:p>
    <w:p w14:paraId="381B186C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Folgende Ausführung ist vorgesehen:</w:t>
      </w:r>
    </w:p>
    <w:p w14:paraId="0284C14D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39F86730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Optional:</w:t>
      </w:r>
    </w:p>
    <w:p w14:paraId="099B6978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Trockenverglasung</w:t>
      </w:r>
    </w:p>
    <w:p w14:paraId="2A29E096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außen</w:t>
      </w:r>
    </w:p>
    <w:p w14:paraId="2399929E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innen</w:t>
      </w:r>
    </w:p>
    <w:p w14:paraId="559A6CBF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Nassverglasung</w:t>
      </w:r>
    </w:p>
    <w:p w14:paraId="204AC1D1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außen</w:t>
      </w:r>
    </w:p>
    <w:p w14:paraId="6EFA2E03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innen</w:t>
      </w:r>
    </w:p>
    <w:p w14:paraId="0EC4270C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161AB7E0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Eckdaten:</w:t>
      </w:r>
    </w:p>
    <w:p w14:paraId="1A0CCEEA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Rahmentiefe 239 mm +14 mm Vorsatzschale</w:t>
      </w:r>
    </w:p>
    <w:p w14:paraId="786AA5DF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Flügeltiefe 78 mm + 14 mm Vorsatzschale.</w:t>
      </w:r>
    </w:p>
    <w:p w14:paraId="2E6A4510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Ansichtbreite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aussen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Rahmen 58 mm</w:t>
      </w:r>
    </w:p>
    <w:p w14:paraId="3DE843C4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Ansichtbreite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aussen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Flügel 88 mm</w:t>
      </w:r>
    </w:p>
    <w:p w14:paraId="127C7E96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Ansichtbreite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Mittelverschluss 92 mm </w:t>
      </w:r>
    </w:p>
    <w:p w14:paraId="4D1105CD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211863FD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Ausgeschlossen sind Holzfenster mit Metallabdeckung und Regenschiene, sowie Konstruktionen die raumseitig mit Holzprofilen verkleidet sind.</w:t>
      </w:r>
    </w:p>
    <w:p w14:paraId="3FC0A492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Aus Gründen </w:t>
      </w:r>
      <w:proofErr w:type="gramStart"/>
      <w:r w:rsidRPr="00672786">
        <w:rPr>
          <w:rFonts w:ascii="Open Sans" w:hAnsi="Open Sans" w:cs="Arial"/>
          <w:sz w:val="20"/>
          <w:szCs w:val="20"/>
          <w:lang w:val="de-DE"/>
        </w:rPr>
        <w:t>des Recycling</w:t>
      </w:r>
      <w:proofErr w:type="gramEnd"/>
      <w:r w:rsidRPr="00672786">
        <w:rPr>
          <w:rFonts w:ascii="Open Sans" w:hAnsi="Open Sans" w:cs="Arial"/>
          <w:sz w:val="20"/>
          <w:szCs w:val="20"/>
          <w:lang w:val="de-DE"/>
        </w:rPr>
        <w:t xml:space="preserve"> sind keine ausgeschäumten Profilsysteme zugelassen.</w:t>
      </w:r>
    </w:p>
    <w:p w14:paraId="5C764FB3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 </w:t>
      </w:r>
    </w:p>
    <w:p w14:paraId="41DC7DFD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b/>
          <w:bCs/>
          <w:sz w:val="20"/>
          <w:szCs w:val="20"/>
          <w:shd w:val="clear" w:color="auto" w:fill="FFFFFF"/>
          <w:lang w:val="de-DE"/>
        </w:rPr>
        <w:t>Hebeschiebebeschlag für rahmenlose Fixverglasung IV78</w:t>
      </w:r>
      <w:r w:rsidRPr="00672786">
        <w:rPr>
          <w:rFonts w:ascii="Open Sans" w:hAnsi="Open Sans"/>
          <w:lang w:val="de-DE"/>
        </w:rPr>
        <w:br/>
      </w:r>
      <w:r w:rsidRPr="00672786">
        <w:rPr>
          <w:rFonts w:ascii="Open Sans" w:hAnsi="Open Sans" w:cs="Arial"/>
          <w:sz w:val="20"/>
          <w:szCs w:val="20"/>
          <w:lang w:val="de-DE"/>
        </w:rPr>
        <w:t xml:space="preserve">Hebeschiebebeschlag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Maco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Panorama - oder gleichwertig - für Flügel von 300 bis 400 kg </w:t>
      </w:r>
    </w:p>
    <w:p w14:paraId="42DA255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Die Aufstellung der Beschlagsteile ist abzustimmen auf die Flügelformate.</w:t>
      </w:r>
    </w:p>
    <w:p w14:paraId="45D7003A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Hebe-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Getriebeschloß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DM 37,5</w:t>
      </w:r>
    </w:p>
    <w:p w14:paraId="64307C72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Hebe-Schiebe Hakengetriebe</w:t>
      </w:r>
    </w:p>
    <w:p w14:paraId="33231747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Schließteil Hakengetriebe</w:t>
      </w:r>
    </w:p>
    <w:p w14:paraId="6440CDEA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Verbindungsstange gelocht HS 16,4x4</w:t>
      </w:r>
    </w:p>
    <w:p w14:paraId="2528830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Packung Laufwagen 300 kg mit Büsten</w:t>
      </w:r>
    </w:p>
    <w:p w14:paraId="1E3717B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Packung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Zusatzlaufwgwn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400 kg</w:t>
      </w:r>
    </w:p>
    <w:p w14:paraId="429539C5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lastRenderedPageBreak/>
        <w:t>Führungsschiene flächenbündig</w:t>
      </w:r>
    </w:p>
    <w:p w14:paraId="71D60B30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Zubehör für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Fürungsschiene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flächenbündig</w:t>
      </w:r>
    </w:p>
    <w:p w14:paraId="3B781B5C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MACO Fiber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Therm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Grundkörper 240</w:t>
      </w:r>
    </w:p>
    <w:p w14:paraId="09BE7A0F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MACO Fiber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Therm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Laufschiene</w:t>
      </w:r>
    </w:p>
    <w:p w14:paraId="6B5D388F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MACO Rahmenlose Fixverglasung</w:t>
      </w:r>
    </w:p>
    <w:p w14:paraId="724FBF1B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MACO Trittschwelle HS Alu für GFK 240</w:t>
      </w:r>
    </w:p>
    <w:p w14:paraId="78636411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Verbindungsplatte, </w:t>
      </w:r>
      <w:proofErr w:type="spellStart"/>
      <w:proofErr w:type="gramStart"/>
      <w:r w:rsidRPr="00672786">
        <w:rPr>
          <w:rFonts w:ascii="Open Sans" w:hAnsi="Open Sans" w:cs="Arial"/>
          <w:sz w:val="20"/>
          <w:szCs w:val="20"/>
          <w:lang w:val="de-DE"/>
        </w:rPr>
        <w:t>Dichtplatte,Dichtstück</w:t>
      </w:r>
      <w:proofErr w:type="spellEnd"/>
      <w:proofErr w:type="gramEnd"/>
      <w:r w:rsidRPr="00672786">
        <w:rPr>
          <w:rFonts w:ascii="Open Sans" w:hAnsi="Open Sans" w:cs="Arial"/>
          <w:sz w:val="20"/>
          <w:szCs w:val="20"/>
          <w:lang w:val="de-DE"/>
        </w:rPr>
        <w:t>, Dichtungsschienen, Anschlagdichtungsplatte Flügeldichtung, Eckverbindungsteile.</w:t>
      </w:r>
    </w:p>
    <w:p w14:paraId="1802EAB9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Anschlagpuffer unten, Anschlag hinten für obere Führung</w:t>
      </w:r>
    </w:p>
    <w:p w14:paraId="42F36923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MACO Fiber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Thern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Einschubprofil</w:t>
      </w:r>
    </w:p>
    <w:p w14:paraId="0F154AD2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 xml:space="preserve">MACO Fiber </w:t>
      </w:r>
      <w:proofErr w:type="spellStart"/>
      <w:r w:rsidRPr="00672786">
        <w:rPr>
          <w:rFonts w:ascii="Open Sans" w:hAnsi="Open Sans" w:cs="Arial"/>
          <w:sz w:val="20"/>
          <w:szCs w:val="20"/>
          <w:lang w:val="de-DE"/>
        </w:rPr>
        <w:t>Therm</w:t>
      </w:r>
      <w:proofErr w:type="spellEnd"/>
      <w:r w:rsidRPr="00672786">
        <w:rPr>
          <w:rFonts w:ascii="Open Sans" w:hAnsi="Open Sans" w:cs="Arial"/>
          <w:sz w:val="20"/>
          <w:szCs w:val="20"/>
          <w:lang w:val="de-DE"/>
        </w:rPr>
        <w:t xml:space="preserve"> Unterbaudämmprofil.</w:t>
      </w:r>
      <w:r w:rsidRPr="00672786">
        <w:rPr>
          <w:rFonts w:ascii="Open Sans" w:hAnsi="Open Sans"/>
          <w:lang w:val="de-DE"/>
        </w:rPr>
        <w:br/>
      </w:r>
      <w:r w:rsidRPr="00672786">
        <w:rPr>
          <w:rFonts w:ascii="Open Sans" w:hAnsi="Open Sans" w:cs="Arial"/>
          <w:sz w:val="20"/>
          <w:szCs w:val="20"/>
          <w:lang w:val="de-DE"/>
        </w:rPr>
        <w:t>Hebeschiebe Griff 12 mit Abdeckblende</w:t>
      </w:r>
    </w:p>
    <w:p w14:paraId="3EE40B5E" w14:textId="77777777" w:rsidR="00655913" w:rsidRPr="00672786" w:rsidRDefault="00655913" w:rsidP="00655913">
      <w:pPr>
        <w:pStyle w:val="StandardWeb"/>
        <w:spacing w:before="0" w:beforeAutospacing="0" w:after="0" w:afterAutospacing="0"/>
        <w:rPr>
          <w:rFonts w:ascii="Open Sans" w:hAnsi="Open Sans"/>
          <w:lang w:val="de-DE"/>
        </w:rPr>
      </w:pPr>
      <w:r w:rsidRPr="00672786">
        <w:rPr>
          <w:rFonts w:ascii="Open Sans" w:hAnsi="Open Sans" w:cs="Arial"/>
          <w:sz w:val="20"/>
          <w:szCs w:val="20"/>
          <w:lang w:val="de-DE"/>
        </w:rPr>
        <w:t>Muschelgriff kurz für Hebeschiebe Griff.</w:t>
      </w:r>
    </w:p>
    <w:p w14:paraId="215D30A1" w14:textId="055ADD24" w:rsidR="003766C9" w:rsidRDefault="003766C9" w:rsidP="003766C9">
      <w:pPr>
        <w:rPr>
          <w:rFonts w:ascii="Open Sans" w:hAnsi="Open Sans" w:cs="Open Sans Light"/>
          <w:lang w:val="de-DE"/>
        </w:rPr>
      </w:pPr>
    </w:p>
    <w:p w14:paraId="09E25EB6" w14:textId="18F5134B" w:rsidR="003766C9" w:rsidRPr="003766C9" w:rsidRDefault="003766C9" w:rsidP="003766C9">
      <w:pPr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3766C9">
        <w:rPr>
          <w:rFonts w:ascii="Open Sans" w:hAnsi="Open Sans" w:cs="Open Sans Light"/>
          <w:b/>
          <w:bCs/>
          <w:sz w:val="20"/>
          <w:szCs w:val="20"/>
          <w:lang w:val="de-DE"/>
        </w:rPr>
        <w:t>Verglasung</w:t>
      </w:r>
    </w:p>
    <w:p w14:paraId="40930106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650533">
        <w:rPr>
          <w:rFonts w:ascii="Open Sans" w:hAnsi="Open Sans" w:cs="Open Sans"/>
          <w:b/>
          <w:bCs/>
          <w:sz w:val="20"/>
          <w:szCs w:val="20"/>
          <w:lang w:val="de-DE"/>
        </w:rPr>
        <w:t>Technische Daten</w:t>
      </w:r>
    </w:p>
    <w:p w14:paraId="629B0FD4" w14:textId="2A8272C9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Lichtdurchlässigkeit TL: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71BB313F" w14:textId="0DE4D68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Gesamtenergiedurchlässigkeit g: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355D3A0B" w14:textId="3EA996A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Lichtreflexion außen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RLa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54889116" w14:textId="7504047F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U-Wert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(W/m²K)</w:t>
      </w:r>
    </w:p>
    <w:p w14:paraId="1632D1B6" w14:textId="0C1307C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Schalldämm-Maß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Rw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(dB)</w:t>
      </w:r>
    </w:p>
    <w:p w14:paraId="36A3E8FE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Licht- und Energiewerte nach DIN EN 410. </w:t>
      </w:r>
    </w:p>
    <w:p w14:paraId="492E22C0" w14:textId="77777777" w:rsidR="003766C9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Der angegebene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-Wert wurde nach DIN EN 673 berechnet. </w:t>
      </w:r>
    </w:p>
    <w:p w14:paraId="15DDEDF9" w14:textId="77777777" w:rsidR="00451AA3" w:rsidRDefault="00451AA3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0C598310" w14:textId="28A02A49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Wärmeschutz der Elemente (</w:t>
      </w:r>
      <w:proofErr w:type="spellStart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) nach ENEV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: Verordnung über energiesparenden Wärmeschutz und energiesparende Anlagentechnik bei Gebäuden.</w:t>
      </w:r>
    </w:p>
    <w:p w14:paraId="6105A49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 </w:t>
      </w:r>
    </w:p>
    <w:p w14:paraId="30886CBB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Fenster- / Fassadenelemente</w:t>
      </w:r>
      <w:r w:rsidRPr="00650533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Verglasung</w:t>
      </w:r>
    </w:p>
    <w:p w14:paraId="7CC01207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Fensterelements</w:t>
      </w:r>
    </w:p>
    <w:p w14:paraId="6F809D6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3423C38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Fassadenelements</w:t>
      </w:r>
    </w:p>
    <w:p w14:paraId="5B11BC2E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Ucw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526D273F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Wärmedurchgangskoeffizient des 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Tür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elements</w:t>
      </w:r>
    </w:p>
    <w:p w14:paraId="4087835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d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6D994F6D" w14:textId="77777777" w:rsidR="00650533" w:rsidRPr="003766C9" w:rsidRDefault="00650533" w:rsidP="003766C9">
      <w:pPr>
        <w:rPr>
          <w:lang w:val="de-DE"/>
        </w:rPr>
      </w:pPr>
    </w:p>
    <w:sectPr w:rsidR="00650533" w:rsidRPr="003766C9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7C5D" w14:textId="77777777" w:rsidR="002F3777" w:rsidRDefault="002F3777" w:rsidP="00650533">
      <w:pPr>
        <w:spacing w:after="0" w:line="240" w:lineRule="auto"/>
      </w:pPr>
      <w:r>
        <w:separator/>
      </w:r>
    </w:p>
  </w:endnote>
  <w:endnote w:type="continuationSeparator" w:id="0">
    <w:p w14:paraId="46424ABE" w14:textId="77777777" w:rsidR="002F3777" w:rsidRDefault="002F3777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9FEB" w14:textId="77777777" w:rsidR="002F3777" w:rsidRDefault="002F3777" w:rsidP="00650533">
      <w:pPr>
        <w:spacing w:after="0" w:line="240" w:lineRule="auto"/>
      </w:pPr>
      <w:r>
        <w:separator/>
      </w:r>
    </w:p>
  </w:footnote>
  <w:footnote w:type="continuationSeparator" w:id="0">
    <w:p w14:paraId="2D3E6471" w14:textId="77777777" w:rsidR="002F3777" w:rsidRDefault="002F3777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9194B"/>
    <w:rsid w:val="00154221"/>
    <w:rsid w:val="00204304"/>
    <w:rsid w:val="00277F1D"/>
    <w:rsid w:val="002F3777"/>
    <w:rsid w:val="003766C9"/>
    <w:rsid w:val="00451AA3"/>
    <w:rsid w:val="004A074D"/>
    <w:rsid w:val="005525AE"/>
    <w:rsid w:val="00650533"/>
    <w:rsid w:val="00655913"/>
    <w:rsid w:val="00775AEB"/>
    <w:rsid w:val="007F2ED9"/>
    <w:rsid w:val="008D597C"/>
    <w:rsid w:val="009A6184"/>
    <w:rsid w:val="009B101A"/>
    <w:rsid w:val="009D15E5"/>
    <w:rsid w:val="00A327AB"/>
    <w:rsid w:val="00B92936"/>
    <w:rsid w:val="00C738F9"/>
    <w:rsid w:val="00E15EF7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2020-12-03T08:44:00Z</dcterms:created>
  <dcterms:modified xsi:type="dcterms:W3CDTF">2020-12-03T08:44:00Z</dcterms:modified>
</cp:coreProperties>
</file>