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35A5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4B1DE9">
        <w:rPr>
          <w:rFonts w:ascii="Open Sans" w:hAnsi="Open Sans" w:cs="Open Sans Light"/>
          <w:b/>
          <w:bCs/>
          <w:sz w:val="20"/>
          <w:szCs w:val="20"/>
          <w:lang w:val="de-DE"/>
        </w:rPr>
        <w:t>Konstruktionsbeschreibung</w:t>
      </w:r>
    </w:p>
    <w:p w14:paraId="4C3EF872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26CE10D9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Profilserie zum Herstellen von Holz-Alu-Systemen mit gleichen Holzdicken am Flügel und Rahmen System </w:t>
      </w:r>
      <w:r>
        <w:rPr>
          <w:rFonts w:ascii="Open Sans" w:hAnsi="Open Sans" w:cs="Open Sans Light"/>
          <w:sz w:val="20"/>
          <w:szCs w:val="20"/>
          <w:lang w:val="de-DE"/>
        </w:rPr>
        <w:t xml:space="preserve">AC20 CS. </w:t>
      </w:r>
    </w:p>
    <w:p w14:paraId="4A6909BB" w14:textId="77777777" w:rsidR="00D33647" w:rsidRPr="006C45C2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3AA72DEA" w14:textId="77777777" w:rsidR="00D33647" w:rsidRPr="006C45C2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6C45C2">
        <w:rPr>
          <w:rFonts w:ascii="Open Sans" w:hAnsi="Open Sans" w:cs="Open Sans Light"/>
          <w:b/>
          <w:bCs/>
          <w:sz w:val="20"/>
          <w:szCs w:val="20"/>
          <w:lang w:val="de-DE"/>
        </w:rPr>
        <w:t>Technische Anforderungen und systemspezifische Nachweise</w:t>
      </w:r>
    </w:p>
    <w:p w14:paraId="3A9941D3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Die Aluminium-Profile sind aus EN AW-6060 T66 in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Eloxalqualität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und gemäß DIN EN 755 und DIN EN 12020 anzubieten. Die Ausführung muss nach den einschlägigen Normen und Richtlinien, den anerkannten Regeln der Technik und den Angaben des Systemgebers erfolgen.</w:t>
      </w:r>
    </w:p>
    <w:p w14:paraId="247F10FF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39BBDC35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Schlagregendichtheit Klasse 9a*</w:t>
      </w:r>
    </w:p>
    <w:p w14:paraId="76FBA15C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Luftdurchlässigkeit Klasse 4*</w:t>
      </w:r>
    </w:p>
    <w:p w14:paraId="2E6A4AE6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Bedienkräfte Klasse 1</w:t>
      </w:r>
    </w:p>
    <w:p w14:paraId="3EC8126D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Eignung für RAL geprüfte Fenster Systemnachweis</w:t>
      </w:r>
    </w:p>
    <w:p w14:paraId="1C77B445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Eignung als absturzsichere Verglasung nach</w:t>
      </w:r>
      <w:r w:rsidRPr="004B1DE9">
        <w:rPr>
          <w:rFonts w:ascii="Open Sans" w:hAnsi="Open Sans" w:cs="Open Sans Light"/>
          <w:sz w:val="20"/>
          <w:szCs w:val="20"/>
          <w:lang w:val="de-DE"/>
        </w:rPr>
        <w:br/>
        <w:t xml:space="preserve">DIN 18008-4, Kategorie </w:t>
      </w:r>
      <w:proofErr w:type="gramStart"/>
      <w:r w:rsidRPr="004B1DE9">
        <w:rPr>
          <w:rFonts w:ascii="Open Sans" w:hAnsi="Open Sans" w:cs="Open Sans Light"/>
          <w:sz w:val="20"/>
          <w:szCs w:val="20"/>
          <w:lang w:val="de-DE"/>
        </w:rPr>
        <w:t>A,C</w:t>
      </w:r>
      <w:proofErr w:type="gramEnd"/>
      <w:r w:rsidRPr="004B1DE9">
        <w:rPr>
          <w:rFonts w:ascii="Open Sans" w:hAnsi="Open Sans" w:cs="Open Sans Light"/>
          <w:sz w:val="20"/>
          <w:szCs w:val="20"/>
          <w:lang w:val="de-DE"/>
        </w:rPr>
        <w:t>2,C3 inkl. Prüfnachweis.</w:t>
      </w:r>
    </w:p>
    <w:p w14:paraId="374B7849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65524B5B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* muss auch für die unsichtbar verschraubte Glasleiste sein, sofern dies ausgeführt wird.</w:t>
      </w:r>
    </w:p>
    <w:p w14:paraId="2121BCCD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2654B6AD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Wärmedämmung des Rahmens z.B. Fichte, U - Werte nach DIN 10077-2:2003-10,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U</w:t>
      </w:r>
      <w:r w:rsidRPr="004B1DE9">
        <w:rPr>
          <w:rFonts w:ascii="Open Sans" w:hAnsi="Open Sans" w:cs="Open Sans Light"/>
          <w:sz w:val="20"/>
          <w:szCs w:val="20"/>
          <w:vertAlign w:val="subscript"/>
          <w:lang w:val="de-DE"/>
        </w:rPr>
        <w:t>f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= 1,1 W/m²K je nach Profilgeometrie</w:t>
      </w:r>
    </w:p>
    <w:p w14:paraId="1AF0D926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24C75987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0EC257E7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4B1DE9">
        <w:rPr>
          <w:rFonts w:ascii="Open Sans" w:hAnsi="Open Sans" w:cs="Open Sans Light"/>
          <w:b/>
          <w:bCs/>
          <w:sz w:val="20"/>
          <w:szCs w:val="20"/>
          <w:lang w:val="de-DE"/>
        </w:rPr>
        <w:t>Gefordertes Grundsystem</w:t>
      </w:r>
    </w:p>
    <w:p w14:paraId="50B2F3D0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7C40438E" w14:textId="77777777" w:rsidR="00D33647" w:rsidRPr="00967940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967940">
        <w:rPr>
          <w:rFonts w:ascii="Open Sans" w:hAnsi="Open Sans" w:cs="Open Sans Light"/>
          <w:b/>
          <w:bCs/>
          <w:sz w:val="20"/>
          <w:szCs w:val="20"/>
          <w:lang w:val="de-DE"/>
        </w:rPr>
        <w:t>Holzkonstruktion</w:t>
      </w:r>
    </w:p>
    <w:p w14:paraId="486CAC5A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Die Holzkonstruktion ist gemäß den Anforderungen der DIN 68121 auszuführen. Die Flügel sind mit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angefräster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Glasleiste, Festverglasungen mit verschraubter Glasleiste vorzusehen. Das System muss eine unsichtbar verschraubte Festverglasung ermöglichen.</w:t>
      </w:r>
    </w:p>
    <w:p w14:paraId="0C1CC5A6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Ausführung Festverglasung:</w:t>
      </w:r>
    </w:p>
    <w:p w14:paraId="46D739AF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49CCDA3F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Optional:</w:t>
      </w:r>
    </w:p>
    <w:p w14:paraId="52DD7D66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Glasleiste sichtbar verschraubt</w:t>
      </w:r>
    </w:p>
    <w:p w14:paraId="16209C15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Glasleiste unsichtbar verschraubt</w:t>
      </w:r>
    </w:p>
    <w:p w14:paraId="7C1085ED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20EECD0F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Der Isolierglas-Randverbund wird zweiseitig im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Holzfalz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aufgenommen.</w:t>
      </w:r>
    </w:p>
    <w:p w14:paraId="043D8AF3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Einnutungen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in die Holzprofile zur Aufnahme der Aluminiumprofile sind unzulässig.</w:t>
      </w:r>
    </w:p>
    <w:p w14:paraId="48083F3A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7F6E81B0" w14:textId="77777777" w:rsidR="00D33647" w:rsidRPr="00967940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967940">
        <w:rPr>
          <w:rFonts w:ascii="Open Sans" w:hAnsi="Open Sans" w:cs="Open Sans Light"/>
          <w:b/>
          <w:bCs/>
          <w:sz w:val="20"/>
          <w:szCs w:val="20"/>
          <w:lang w:val="de-DE"/>
        </w:rPr>
        <w:t>Aluminium-Rahmen</w:t>
      </w:r>
    </w:p>
    <w:p w14:paraId="4D72332D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Es ist ein flächenbündiges System mit integriertem, verdeckt liegendem Flügel anzubieten. Die Ansichtsbreite des Rahmens beträgt an der Hauptkontur 88 mm, die Stärke des sichtbaren Aluminium-Überschlages beträgt nur 10 mm.</w:t>
      </w:r>
    </w:p>
    <w:p w14:paraId="3122111A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Die Entwässerung des Falzbereiches erfolgt durch verdeckte Stanzungen im unteren Profilquerstück. Optional muss eine sichtbare Entwässerung mit Aluminium-Abdeckkappe im Farbton des Alurahmens möglich sein.</w:t>
      </w:r>
    </w:p>
    <w:p w14:paraId="02F6DE6D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Die Flügelverglasung ist mit einer außen angeordneten Glasleiste auszuführen, die das Glas umlaufend einfasst. Systeme, die als äußere Glaseinfassung nur Dichtungen verwenden, sind nicht zulässig.</w:t>
      </w:r>
    </w:p>
    <w:p w14:paraId="53BFB61E" w14:textId="77777777" w:rsidR="00D33647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Die Ausführung der Aluminium-Rahmen muss wahlweise mit mechanischer oder verschweißter Verbindung möglich sein. </w:t>
      </w:r>
    </w:p>
    <w:p w14:paraId="7CBA716B" w14:textId="77777777" w:rsidR="00D33647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</w:p>
    <w:p w14:paraId="179E0285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</w:p>
    <w:p w14:paraId="23D36A7B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Folgende Ausführung ist vorgesehen:</w:t>
      </w:r>
    </w:p>
    <w:p w14:paraId="00A8B313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62EA90D4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Optional:</w:t>
      </w:r>
    </w:p>
    <w:p w14:paraId="5BC3064F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mechanische Verbindung (</w:t>
      </w:r>
      <w:proofErr w:type="gramStart"/>
      <w:r w:rsidRPr="004B1DE9">
        <w:rPr>
          <w:rFonts w:ascii="Open Sans" w:hAnsi="Open Sans" w:cs="Open Sans Light"/>
          <w:sz w:val="20"/>
          <w:szCs w:val="20"/>
          <w:lang w:val="de-DE"/>
        </w:rPr>
        <w:t>verstanzt )</w:t>
      </w:r>
      <w:proofErr w:type="gramEnd"/>
    </w:p>
    <w:p w14:paraId="63D5DC37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geschweißte Verbindung</w:t>
      </w:r>
    </w:p>
    <w:p w14:paraId="1E6E09D1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7E7B569D" w14:textId="77777777" w:rsidR="00D33647" w:rsidRPr="00967940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967940">
        <w:rPr>
          <w:rFonts w:ascii="Open Sans" w:hAnsi="Open Sans" w:cs="Open Sans Light"/>
          <w:b/>
          <w:bCs/>
          <w:sz w:val="20"/>
          <w:szCs w:val="20"/>
          <w:lang w:val="de-DE"/>
        </w:rPr>
        <w:t>Befestigung des Aluminium-Rahmens</w:t>
      </w:r>
    </w:p>
    <w:p w14:paraId="5CB6AE02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Die Befestigung des Aluminium-Rahmens auf dem Holzrahmen erfolgt über demontierbare Dreh- und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Drehklipshalter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aus hochwertigen, temperaturbeständigen Kunststoffen wie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schlagzäh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modifiziertes POM. Am Flügel werden grundsätzlich Drehhalter eingesetzt. Eine spannungsfreie Dehnung der Aluminiumschale zum Holzteil und die vollflächige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Hinterlüftung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des Spaltes zwischen Holz- und Alu-Rahmen muss sichergestellt sein. Der Spalt muss daher mit mindestens 4 mm Abstand ausgeführt werden. Zur genauen Maßpositionsbestimmung müssen die Halter mit eingegossenem Abstandsnoppen vorgerichtet sein. </w:t>
      </w:r>
    </w:p>
    <w:p w14:paraId="673E6EFF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61351888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4B1DE9">
        <w:rPr>
          <w:rFonts w:ascii="Open Sans" w:hAnsi="Open Sans" w:cs="Open Sans Light"/>
          <w:b/>
          <w:bCs/>
          <w:sz w:val="20"/>
          <w:szCs w:val="20"/>
          <w:lang w:val="de-DE"/>
        </w:rPr>
        <w:t>Dichtungen</w:t>
      </w:r>
    </w:p>
    <w:p w14:paraId="4CFB08D3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Am Blendrahmen ist eine umlaufende, eck-vulkanisierbare Dichtung aus APTK zwischen Holz-Rahmen und Holz-Flügel einzubauen. Bei großer Schlagregenbeanspruchung muss optional eine Dichtung zwischen Alu-Rahmen und Alu-Flügel unten quer montierbar sein.</w:t>
      </w:r>
    </w:p>
    <w:p w14:paraId="558E6450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Die Verglasung muss außenseitig mit einer umlaufenden APTK-Trockenverglasungs-dichtung erfolgen können. Die Dichtlippe am Glas darf nicht breiter als 5 mm sichtbar sein. Keildichtungen als äußere Verglasungsdichtung sind nicht zulässig. Innenseitig muss eine Trockenverglasung mit APTK-Dichtungen in abgestuften Dichtungsdicken ausführbar sein. Das System muss außen- wie innenseitig optional als Nassverglasung ausführbar sein. </w:t>
      </w:r>
    </w:p>
    <w:p w14:paraId="52AB2CD9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Folgende Ausführung ist vorgesehen:</w:t>
      </w:r>
    </w:p>
    <w:p w14:paraId="0BE46E3B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55658867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Optional:</w:t>
      </w:r>
    </w:p>
    <w:p w14:paraId="332EAF63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Trockenverglasung</w:t>
      </w:r>
    </w:p>
    <w:p w14:paraId="210B25E2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außen</w:t>
      </w:r>
    </w:p>
    <w:p w14:paraId="43B91C6D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innen</w:t>
      </w:r>
    </w:p>
    <w:p w14:paraId="2F846CD2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Nassverglasung</w:t>
      </w:r>
    </w:p>
    <w:p w14:paraId="064F8B5C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außen</w:t>
      </w:r>
    </w:p>
    <w:p w14:paraId="34A1FE72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color w:val="000000"/>
          <w:sz w:val="20"/>
          <w:szCs w:val="20"/>
          <w:lang w:val="de-DE"/>
        </w:rPr>
        <w:t>innen</w:t>
      </w:r>
    </w:p>
    <w:p w14:paraId="45AB33D4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color w:val="000000"/>
          <w:sz w:val="20"/>
          <w:szCs w:val="20"/>
          <w:lang w:val="de-DE"/>
        </w:rPr>
        <w:t> </w:t>
      </w:r>
    </w:p>
    <w:p w14:paraId="53F032BE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Ausgeschlossen sind Holzfenster mit Metallabdeckung und Regenschiene, sowie Konstruktionen die raumseitig mit Holzprofilen verkleidet sind.</w:t>
      </w:r>
    </w:p>
    <w:p w14:paraId="40D77DFD" w14:textId="77777777" w:rsidR="00D33647" w:rsidRPr="004B1DE9" w:rsidRDefault="00D33647" w:rsidP="00D33647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Aus Gründen </w:t>
      </w:r>
      <w:proofErr w:type="gramStart"/>
      <w:r w:rsidRPr="004B1DE9">
        <w:rPr>
          <w:rFonts w:ascii="Open Sans" w:hAnsi="Open Sans" w:cs="Open Sans Light"/>
          <w:sz w:val="20"/>
          <w:szCs w:val="20"/>
          <w:lang w:val="de-DE"/>
        </w:rPr>
        <w:t>des Recycling</w:t>
      </w:r>
      <w:proofErr w:type="gram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sind keine ausgeschäumten Profilsysteme zugelassen.</w:t>
      </w:r>
    </w:p>
    <w:p w14:paraId="215D30A1" w14:textId="055ADD24" w:rsidR="003766C9" w:rsidRDefault="003766C9" w:rsidP="003766C9">
      <w:pPr>
        <w:rPr>
          <w:rFonts w:ascii="Open Sans" w:hAnsi="Open Sans" w:cs="Open Sans Light"/>
          <w:lang w:val="de-DE"/>
        </w:rPr>
      </w:pPr>
    </w:p>
    <w:p w14:paraId="09E25EB6" w14:textId="18F5134B" w:rsidR="003766C9" w:rsidRPr="003766C9" w:rsidRDefault="003766C9" w:rsidP="003766C9">
      <w:pPr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3766C9">
        <w:rPr>
          <w:rFonts w:ascii="Open Sans" w:hAnsi="Open Sans" w:cs="Open Sans Light"/>
          <w:b/>
          <w:bCs/>
          <w:sz w:val="20"/>
          <w:szCs w:val="20"/>
          <w:lang w:val="de-DE"/>
        </w:rPr>
        <w:t>Verglasung</w:t>
      </w:r>
    </w:p>
    <w:p w14:paraId="40930106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b/>
          <w:bCs/>
          <w:sz w:val="20"/>
          <w:szCs w:val="20"/>
          <w:lang w:val="de-DE"/>
        </w:rPr>
      </w:pPr>
      <w:r w:rsidRPr="00650533">
        <w:rPr>
          <w:rFonts w:ascii="Open Sans" w:hAnsi="Open Sans" w:cs="Open Sans"/>
          <w:b/>
          <w:bCs/>
          <w:sz w:val="20"/>
          <w:szCs w:val="20"/>
          <w:lang w:val="de-DE"/>
        </w:rPr>
        <w:t>Technische Daten</w:t>
      </w:r>
    </w:p>
    <w:p w14:paraId="629B0FD4" w14:textId="2A8272C9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Lichtdurchlässigkeit TL: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71BB313F" w14:textId="0DE4D68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Gesamtenergiedurchlässigkeit g: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355D3A0B" w14:textId="3EA996A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Lichtreflexion außen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RLa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54889116" w14:textId="7504047F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U-Wert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(W/m²K)</w:t>
      </w:r>
    </w:p>
    <w:p w14:paraId="1632D1B6" w14:textId="0C1307C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Schalldämm-Maß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Rw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(dB)</w:t>
      </w:r>
    </w:p>
    <w:p w14:paraId="36A3E8FE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Licht- und Energiewerte nach DIN EN 410. </w:t>
      </w:r>
    </w:p>
    <w:p w14:paraId="492E22C0" w14:textId="77777777" w:rsidR="003766C9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Der angegebene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-Wert wurde nach DIN EN 673 berechnet. </w:t>
      </w:r>
    </w:p>
    <w:p w14:paraId="09F80EB9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</w:p>
    <w:p w14:paraId="67A5B74B" w14:textId="77777777" w:rsidR="003766C9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</w:pPr>
    </w:p>
    <w:p w14:paraId="2383088A" w14:textId="77777777" w:rsidR="003766C9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</w:pPr>
    </w:p>
    <w:p w14:paraId="0C598310" w14:textId="28A02A49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Wärmeschutz der Elemente (</w:t>
      </w:r>
      <w:proofErr w:type="spellStart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) nach ENEV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: Verordnung über energiesparenden Wärmeschutz und energiesparende Anlagentechnik bei Gebäuden.</w:t>
      </w:r>
    </w:p>
    <w:p w14:paraId="6105A49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 </w:t>
      </w:r>
    </w:p>
    <w:p w14:paraId="30886CBB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Fenster- / Fassadenelemente</w:t>
      </w:r>
      <w:r w:rsidRPr="00650533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Verglasung</w:t>
      </w:r>
    </w:p>
    <w:p w14:paraId="7CC01207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Fensterelements</w:t>
      </w:r>
    </w:p>
    <w:p w14:paraId="6F809D6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3423C38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Fassadenelements</w:t>
      </w:r>
    </w:p>
    <w:p w14:paraId="5B11BC2E" w14:textId="77777777" w:rsidR="003766C9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Ucw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526D273F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Wärmedurchgangskoeffizient des 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Tür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elements</w:t>
      </w:r>
    </w:p>
    <w:p w14:paraId="4087835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d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6D994F6D" w14:textId="77777777" w:rsidR="00650533" w:rsidRPr="003766C9" w:rsidRDefault="00650533" w:rsidP="003766C9">
      <w:pPr>
        <w:rPr>
          <w:lang w:val="de-DE"/>
        </w:rPr>
      </w:pPr>
    </w:p>
    <w:sectPr w:rsidR="00650533" w:rsidRPr="003766C9" w:rsidSect="009D15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83A12" w14:textId="77777777" w:rsidR="006E1E4D" w:rsidRDefault="006E1E4D" w:rsidP="00650533">
      <w:pPr>
        <w:spacing w:after="0" w:line="240" w:lineRule="auto"/>
      </w:pPr>
      <w:r>
        <w:separator/>
      </w:r>
    </w:p>
  </w:endnote>
  <w:endnote w:type="continuationSeparator" w:id="0">
    <w:p w14:paraId="61C94BB7" w14:textId="77777777" w:rsidR="006E1E4D" w:rsidRDefault="006E1E4D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C2A08" w14:textId="77777777" w:rsidR="006E1E4D" w:rsidRDefault="006E1E4D" w:rsidP="00650533">
      <w:pPr>
        <w:spacing w:after="0" w:line="240" w:lineRule="auto"/>
      </w:pPr>
      <w:r>
        <w:separator/>
      </w:r>
    </w:p>
  </w:footnote>
  <w:footnote w:type="continuationSeparator" w:id="0">
    <w:p w14:paraId="2F69B359" w14:textId="77777777" w:rsidR="006E1E4D" w:rsidRDefault="006E1E4D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154221"/>
    <w:rsid w:val="00204304"/>
    <w:rsid w:val="00277F1D"/>
    <w:rsid w:val="003766C9"/>
    <w:rsid w:val="004A074D"/>
    <w:rsid w:val="005525AE"/>
    <w:rsid w:val="00650533"/>
    <w:rsid w:val="006E1E4D"/>
    <w:rsid w:val="007F2ED9"/>
    <w:rsid w:val="008D597C"/>
    <w:rsid w:val="009B101A"/>
    <w:rsid w:val="009D15E5"/>
    <w:rsid w:val="00B92936"/>
    <w:rsid w:val="00BA3388"/>
    <w:rsid w:val="00C738F9"/>
    <w:rsid w:val="00D33647"/>
    <w:rsid w:val="00E15EF7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2</cp:revision>
  <dcterms:created xsi:type="dcterms:W3CDTF">2020-12-03T08:39:00Z</dcterms:created>
  <dcterms:modified xsi:type="dcterms:W3CDTF">2020-12-03T08:39:00Z</dcterms:modified>
</cp:coreProperties>
</file>